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87R8535 SMT-D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2477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substandard residential building fines issued by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214, Local Government Code, is amended by adding Section 214.908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214.908.</w:t>
      </w:r>
      <w:r>
        <w:rPr>
          <w:u w:val="single"/>
        </w:rPr>
        <w:t xml:space="preserve"> </w:t>
      </w:r>
      <w:r>
        <w:rPr>
          <w:u w:val="single"/>
        </w:rPr>
        <w:t xml:space="preserve"> </w:t>
      </w:r>
      <w:r>
        <w:rPr>
          <w:u w:val="single"/>
        </w:rPr>
        <w:t xml:space="preserve">SUBSTANDARD RESIDENTIAL BUILDING FINE ISSUED BY CERTAIN MUNICIPALITIES.  (a)  This section applies only to a municipality located in a county with a population of 3.3 million or more.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"Residential building"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residential building leased or rented by the owner of the building to another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multifamily residential building containing more than one dwelling unit leased or rented by the owner of the building to another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"Substandard residential building" means a residential building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 dilapidated or unfit for human habitation;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hazard to the public health, safety, or welfare.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"Substandard residential building fine" means a fine or penalty imposed by a municipality on the owner of a substandard residential building under a municipal ordinance applicable to the condition of the building.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owner of a substandard residential building is personally liable for the payment of a substandard residential building fine imposed for the owner's building.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municipality may file a lien in the manner prescribed by this section on the property on which a substandard residential building is located, and for which the owner has received a substandard residential building fine, for the total amount of all outstanding substandard residential building fines issued for the property.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a municipality may file a lien on property under this section, the municipality shall provide written notice to the owner of the property. </w:t>
      </w:r>
      <w:r>
        <w:rPr>
          <w:u w:val="single"/>
        </w:rPr>
        <w:t xml:space="preserve"> </w:t>
      </w:r>
      <w:r>
        <w:rPr>
          <w:u w:val="single"/>
        </w:rPr>
        <w:t xml:space="preserve">The municipality must provide the notice not earlier than the 30th day after the date the total amount of outstanding substandard residential building fines issued for the property first equals or exceeds $2,500. </w:t>
      </w:r>
      <w:r>
        <w:rPr>
          <w:u w:val="single"/>
        </w:rPr>
        <w:t xml:space="preserve"> </w:t>
      </w:r>
      <w:r>
        <w:rPr>
          <w:u w:val="single"/>
        </w:rPr>
        <w:t xml:space="preserve">The municipality must provide the notice in person or by mail or, if personal service cannot be obtained and the address of the owner of the property is not known, by posting a copy of the notice conspicuously at the property. </w:t>
      </w:r>
      <w:r>
        <w:rPr>
          <w:u w:val="single"/>
        </w:rPr>
        <w:t xml:space="preserve"> </w:t>
      </w:r>
      <w:r>
        <w:rPr>
          <w:u w:val="single"/>
        </w:rPr>
        <w:t xml:space="preserve">The notice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unpaid substandard residential building fines issued for the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the municipality will not file the lien before the 31st day after the date the notice is provided under this subsection;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property owner is entitled to submit a written request for a hearing before the 31st day after the date the notice is provided under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hearing requested under Subsection (e) may be conducted by the governing body of the municipality or by a board, commission, or municipal officer designated by the governing body. </w:t>
      </w:r>
      <w:r>
        <w:rPr>
          <w:u w:val="single"/>
        </w:rPr>
        <w:t xml:space="preserve"> </w:t>
      </w:r>
      <w:r>
        <w:rPr>
          <w:u w:val="single"/>
        </w:rPr>
        <w:t xml:space="preserve">At the end of the hearing, the entity or officer that conducted the hearing shall authorize the municipality to file the lien or determine that the municipality may not file the lien. </w:t>
      </w:r>
      <w:r>
        <w:rPr>
          <w:u w:val="single"/>
        </w:rPr>
        <w:t xml:space="preserve"> </w:t>
      </w:r>
      <w:r>
        <w:rPr>
          <w:u w:val="single"/>
        </w:rPr>
        <w:t xml:space="preserve">The municipality may not file the lien if the entity or officer determines that the municipality may not file the lien. </w:t>
      </w:r>
      <w:r>
        <w:rPr>
          <w:u w:val="single"/>
        </w:rPr>
        <w:t xml:space="preserve"> </w:t>
      </w:r>
      <w:r>
        <w:rPr>
          <w:u w:val="single"/>
        </w:rPr>
        <w:t xml:space="preserve">If a property owner does not request a hearing, the municipality may file the lien on or after the 31st day after the date the municipality provides the notice as required by Subsection (e).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lien arises and attaches to the property at the time the notice of the lien is recorded and indexed in the office of the county clerk in the county in which the property is located.  The notice must contain the name and address of the owner if that information can be determined with reasonable effort, a legal description of the property, and the amount of the unpaid balance of the fine imposed by the municipality.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lien is extinguished if the property owner or another person pays the fine. </w:t>
      </w:r>
      <w:r>
        <w:rPr>
          <w:u w:val="single"/>
        </w:rPr>
        <w:t xml:space="preserve"> </w:t>
      </w:r>
      <w:r>
        <w:rPr>
          <w:u w:val="single"/>
        </w:rPr>
        <w:t xml:space="preserve">The lien is inferior to any previously recorded bona fide mortgage lien attached to the property to which the municipality's lien attaches if the mortgage lien was filed for record in the office of the county clerk of the county in which the property is located before the date the fine was imposed by the municipality. The municipality's lien is superior to all other previously recorded judgment liens.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substandard residential building fine, as defined by Section 214.908, Local Government Code, as added by this Act, that is issued by a municipality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