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87R9333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 providing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84.002, Election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 photograph or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form of photo identification listed in Section 63.0101(a);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form of identification listed in Section 63.0101(b) accompanied by a declaration of reasonable impediment as described in Section 63.001(i);</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subject to prosecution for perjury under Chapter 37, Penal Code, or Section 63.0013 for a false statement or false information on a document executed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63.0101(c) applies to documentation provided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informing the applicant of the requirement that the applicant include a photograph or copy of identification described by Section 84.002(a)(1-a);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forms that may be required to meet the identification requirements of Section 84.002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a photograph or copy of one form of photo identification listed in Section 63.0101(a) or one form of identification listed in Section 63.0101(b) accompanied by a declaration of reasonable impediment, the clerk shall reject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enter on a carrier envelope the voter's name in printed form, a notation that a statement of residence is enclosed, if applicable, </w:t>
      </w:r>
      <w:r>
        <w:rPr>
          <w:u w:val="single"/>
        </w:rPr>
        <w:t xml:space="preserve">a statement that the voter must include a photograph or copy of the voter's identification under Section 86.005(c)(4),</w:t>
      </w:r>
      <w:r>
        <w:t xml:space="preserve"> and any other information the clerk determines necessary for proper processing of the ballot.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ballot materials provided under this section must include any forms that may be required to meet the identification requirements of Section 86.005(c)(4).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marking the ballot, the voter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place </w:t>
      </w:r>
      <w:r>
        <w:rPr>
          <w:u w:val="single"/>
        </w:rPr>
        <w:t xml:space="preserve">the ballot</w:t>
      </w:r>
      <w:r>
        <w:t xml:space="preserve"> [</w:t>
      </w:r>
      <w:r>
        <w:rPr>
          <w:strike/>
        </w:rPr>
        <w:t xml:space="preserve">it</w:t>
      </w:r>
      <w:r>
        <w:t xml:space="preserve">] in the official ballot envelope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then</w:t>
      </w:r>
      <w:r>
        <w:t xml:space="preserve">] seal the ballot envelope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place the ballot envelope in the official carrier envelope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place in the carrier envelope a photograph or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form of photo identification listed in Section 63.0101(a);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form of identification listed in Section 63.0101(b) accompanied by a declaration of reasonable impediment as described in Section 63.001(i);</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and then</w:t>
      </w:r>
      <w:r>
        <w:t xml:space="preserve">] seal the carrier envelope</w:t>
      </w:r>
      <w:r>
        <w:rPr>
          <w:u w:val="single"/>
        </w:rPr>
        <w:t xml:space="preserve">;</w:t>
      </w:r>
      <w:r>
        <w:t xml:space="preserve"> [</w:t>
      </w:r>
      <w:r>
        <w:rPr>
          <w:strike/>
        </w:rPr>
        <w:t xml:space="preserve">,</w:t>
      </w:r>
      <w: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sign the certificate on the carrier envelope.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