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2505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a watercraft while intoxicated.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49.045, Penal Code, is amended to read as follows:</w:t>
      </w:r>
    </w:p>
    <w:p w:rsidR="003F3435" w:rsidRDefault="0032493E">
      <w:pPr>
        <w:spacing w:line="480" w:lineRule="auto"/>
        <w:ind w:firstLine="720"/>
        <w:jc w:val="both"/>
      </w:pPr>
      <w:r>
        <w:t xml:space="preserve">Sec.</w:t>
      </w:r>
      <w:r xml:space="preserve">
        <w:t> </w:t>
      </w:r>
      <w:r>
        <w:t xml:space="preserve">49.045.</w:t>
      </w:r>
      <w:r xml:space="preserve">
        <w:t> </w:t>
      </w:r>
      <w:r xml:space="preserve">
        <w:t> </w:t>
      </w:r>
      <w:r>
        <w:t xml:space="preserve">DRIVING WHILE INTOXICATED WITH CHILD PASSENGER. </w:t>
      </w:r>
      <w:r>
        <w:t xml:space="preserve"> </w:t>
      </w:r>
      <w:r>
        <w:t xml:space="preserve">(a) </w:t>
      </w:r>
      <w:r>
        <w:t xml:space="preserve">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is intoxicated while operating a motor vehicle </w:t>
      </w:r>
      <w:r>
        <w:rPr>
          <w:u w:val="single"/>
        </w:rPr>
        <w:t xml:space="preserve">or operating a watercraft</w:t>
      </w:r>
      <w:r>
        <w:t xml:space="preserve"> in a public place; and</w:t>
      </w:r>
    </w:p>
    <w:p w:rsidR="003F3435" w:rsidRDefault="0032493E">
      <w:pPr>
        <w:spacing w:line="480" w:lineRule="auto"/>
        <w:ind w:firstLine="1440"/>
        <w:jc w:val="both"/>
      </w:pPr>
      <w:r>
        <w:t xml:space="preserve">(2)</w:t>
      </w:r>
      <w:r xml:space="preserve">
        <w:t> </w:t>
      </w:r>
      <w:r xml:space="preserve">
        <w:t> </w:t>
      </w:r>
      <w:r>
        <w:t xml:space="preserve">the vehicle </w:t>
      </w:r>
      <w:r>
        <w:rPr>
          <w:u w:val="single"/>
        </w:rPr>
        <w:t xml:space="preserve">or watercraft</w:t>
      </w:r>
      <w:r>
        <w:t xml:space="preserve"> being operated by the person is occupied by a passenger who is younger than 15 years of age.</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covered by the law in effect when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