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87R8066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2513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notice and the adoption of state agency emergency rules that restrict access to residents of long-term 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2001.026, Government Code, is amended to read as follows:</w:t>
      </w:r>
    </w:p>
    <w:p w:rsidR="003F3435" w:rsidRDefault="0032493E">
      <w:pPr>
        <w:spacing w:line="480" w:lineRule="auto"/>
        <w:ind w:firstLine="720"/>
        <w:jc w:val="both"/>
      </w:pPr>
      <w:r>
        <w:t xml:space="preserve">Sec.</w:t>
      </w:r>
      <w:r xml:space="preserve">
        <w:t> </w:t>
      </w:r>
      <w:r>
        <w:t xml:space="preserve">2001.026.</w:t>
      </w:r>
      <w:r xml:space="preserve">
        <w:t> </w:t>
      </w:r>
      <w:r xml:space="preserve">
        <w:t> </w:t>
      </w:r>
      <w:r>
        <w:t xml:space="preserve">NOTICE TO PERSONS REQUESTING ADVANCE NOTICE OF PROPOSED RULES.  </w:t>
      </w:r>
      <w:r>
        <w:rPr>
          <w:u w:val="single"/>
        </w:rPr>
        <w:t xml:space="preserve">(a)</w:t>
      </w:r>
      <w:r>
        <w:t xml:space="preserve">  A state agency shall mail notice of a proposed rule to each person who has made a timely written request of the agency for advance notice of its rulemaking proceedings.  Failure to mail the notice does not invalidate an action taken or rule adopted.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shall, using the system adopted by the agency for electronic delivery of information, deliver advance notice of an emergency rule described by Section 2001.034(e) to the e-mail address of each person who requests electronic notice of those rules if the person provides a valid e-mail address with the request.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2001.034,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section, a state agency with regulatory authority over long-term care facilities may not adopt an emergency rule that restricts access to a resident of a long-term care facility unless the agency provides notice of the agency's intent to adopt the rule, allows 48 hours after publication of the notice for members of the public to comment in writing on the rule, and spends at least 24 hours reviewing the comments received on the rule.  The rule may not take effect until after the periods for public comment and agency review required by this subsection have expired.  For purposes of this subsection, "long-term care facility"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facility licensed or regulated under Chapter 242, 247, or 252, Health and Safety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supported living center as defined by Section 531.002, Health and Safety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notice required under Subsection (e) of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Section 2001.024,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text of the rule;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detailed explanation of the effect of the rule;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following words, written in all capital letters in an easily readable font and type size: "YOU MAY SUBMIT COMMENTS ON THIS PROPOSED RULE.  COMMENTS SHOULD BE SUBMITTED ELECTRONICALLY TO (insert a dedicated e-mail address used by the state agency for receipt of public comments) NOT LATER THAN (insert date and time at which period for public comments ends).";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toll-free telephone number a person may use to receive information on the rule that includes relay services for persons with speech or hearing disabilities;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any other provision of this subchapter, be published by the state agency adopting the rule using the following methods: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e-mail to a person who has requested advance notice of the agency's proposed rules under Section 2001.026 and provided the agency an e-mail address under that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practicable, by publication in the Texas Register in the manner prescribed by Chapter 2002;</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by posting a copy of the notice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agency's Internet website;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platform for electronic communication on which the agency regularly posts public announcements and information;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by sending the notice to designated media outlets in this state so that participating radio stations, television stations, and other media outlets may provide notice at reasonable intervals to inform the public of the contents of the notice.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emergency rule that is adopted by a state agency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