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87R1790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highly contagious communicable disease health and safety plan prepared by a school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38, Education Code, is amended by adding Section 38.044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38.044.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HIGHLY CONTAGIOUS COMMUNICABLE DISEASE HEALTH AND SAFETY PLAN.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"Communicable disease" has the meaning assigned by Section 81.003, Health and Safety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"Highly contagious communicable disease" means a communicable disease that creates a substantial risk of public exposure because of the disease's high level of contagion or the method by which the disease is transmitted.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school district shall prepare and maintain a health and safety plan for preventing the spread of a highly contagious communicable disease at school district campuses. </w:t>
      </w:r>
      <w:r>
        <w:rPr>
          <w:u w:val="single"/>
        </w:rPr>
        <w:t xml:space="preserve"> </w:t>
      </w:r>
      <w:r>
        <w:rPr>
          <w:u w:val="single"/>
        </w:rPr>
        <w:t xml:space="preserve">The health and safety plan must include provisions for, if appropriate to prevent the spread of the disease: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hand washing schedules for students and school personnel;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requiring temperature checks for students and school personnel;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requiring classrooms to be arranged to provide for physical separation between students' desks based on social distancing recommendations by local health officials;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including sanitation protocols for campus facilities;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maintaining an inventory of personal protection equipment and cleaning supplies;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notifying students, parents, and school personnel if a member of the school community receives a positive test result for a highly contagious communicable disease;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including protocols for handling a positive test result among members of the school community;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including a list of community and school health centers and resources available to members of the school community.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beginning of each school year, each school district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review and, if necessary, revise the health and safety plan prepared under Subsection (b);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 the district's health and safety plan to the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 but not later than the beginning of the 2021-2022 school year, each school district shall prepare a highly contagious communicable disease health and safety plan and submit the district's plan to the Texas Education Agency as required by Section 38.044,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