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2530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rate of interest on certain tax refunds.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111.064(a),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otherwise provided by this section, for a refund under this chapter, interest is at the rate that is the lesser of the annual rate of interest earned on deposits in the state treasury during </w:t>
      </w:r>
      <w:r>
        <w:rPr>
          <w:u w:val="single"/>
        </w:rPr>
        <w:t xml:space="preserve">November</w:t>
      </w:r>
      <w:r>
        <w:t xml:space="preserve"> [</w:t>
      </w:r>
      <w:r>
        <w:rPr>
          <w:strike/>
        </w:rPr>
        <w:t xml:space="preserve">December</w:t>
      </w:r>
      <w:r>
        <w:t xml:space="preserve">] of the previous calendar year, as determined by the comptroller, or the rate set in Section 111.060, and accrues on the amount found to be erroneously paid for a period: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beginning on the later of 60 days after the date of payment or the due date of the tax report;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ending on, as determined by the comptroller, either the date of allowance of credit on account of the comptroller's final decision or audit or a date not more than 10 days before the date of the refund warrant.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2530 was passed by the House on April 20, 2021, by the following vote:</w:t>
      </w:r>
      <w:r xml:space="preserve">
        <w:t> </w:t>
      </w:r>
      <w:r xml:space="preserve">
        <w:t> </w:t>
      </w:r>
      <w:r>
        <w:t xml:space="preserve">Yeas 146,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2530 was passed by the Senate on May 19, 2021,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