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87R8503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 Cook, Swanson, Neave, et al.</w:t>
      </w:r>
      <w:r xml:space="preserve">
        <w:tab wTab="150" tlc="none" cTlc="0"/>
      </w:r>
      <w:r>
        <w:t xml:space="preserve">H.B.</w:t>
      </w:r>
      <w:r xml:space="preserve">
        <w:t> </w:t>
      </w:r>
      <w:r>
        <w:t xml:space="preserve">No.</w:t>
      </w:r>
      <w:r xml:space="preserve">
        <w:t> </w:t>
      </w:r>
      <w:r>
        <w:t xml:space="preserve">2536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neglect of a child and the grounds for termination of the parent-child relationship and possession of a child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161.001(c), Family Code, is amended to read as follows:</w:t>
      </w:r>
    </w:p>
    <w:p w:rsidR="003F3435" w:rsidRDefault="0032493E">
      <w:pPr>
        <w:spacing w:line="480" w:lineRule="auto"/>
        <w:ind w:firstLine="720"/>
        <w:jc w:val="both"/>
      </w:pPr>
      <w:r>
        <w:t xml:space="preserve">(c)</w:t>
      </w:r>
      <w:r xml:space="preserve">
        <w:t> </w:t>
      </w:r>
      <w:r xml:space="preserve">
        <w:t> </w:t>
      </w:r>
      <w:r>
        <w:t xml:space="preserve">A court may not make a finding under Subsection (b) and order termination of the parent-child relationship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sought an opinion from more than one medical provider relating to the child's medical care, transferred the child's medical care to a new medical provider, or transferred the child to another health care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261.001(4), Family Code, is amended to read as follows:</w:t>
      </w:r>
    </w:p>
    <w:p w:rsidR="003F3435" w:rsidRDefault="0032493E">
      <w:pPr>
        <w:spacing w:line="480" w:lineRule="auto"/>
        <w:ind w:firstLine="1440"/>
        <w:jc w:val="both"/>
      </w:pPr>
      <w:r>
        <w:t xml:space="preserve">(4)</w:t>
      </w:r>
      <w:r xml:space="preserve">
        <w:t> </w:t>
      </w:r>
      <w:r xml:space="preserve">
        <w:t> </w:t>
      </w:r>
      <w:r>
        <w:t xml:space="preserve">"Neglect":</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 substantial risk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 substantial risk of immediate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 substantial risk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 substantial risk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(1)(E), (F), (G), (H), or (K)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child has a severe emotional disturbance;</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the person has exhausted all reasonable means available to the person to obtain the mental health services described by </w:t>
      </w:r>
      <w:r>
        <w:rPr>
          <w:u w:val="single"/>
        </w:rPr>
        <w:t xml:space="preserve">Sub-subparagraph (b);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decision by a person responsible for a child's care, custody, or welfare to:</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obtain an opinion from more than one medical provider relating to the child's medical care;</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transfer the child's medical care to a new medical provider; or</w:t>
      </w:r>
      <w:r>
        <w:t xml:space="preserve"> </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transfer the child to another health care facility</w:t>
      </w:r>
      <w:r>
        <w:t xml:space="preserve"> [</w:t>
      </w:r>
      <w:r>
        <w:rPr>
          <w:strike/>
        </w:rPr>
        <w:t xml:space="preserve">Subparagraph (ii)</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262.116(a), Family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sought an opinion from more than one medical provider relating to the child's medical care, transferred the child's medical care to a new medical provider, or transferred the child to another health care facility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