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87R8503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neglect of a child and the grounds for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 substantial risk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decision by a person responsible for a child's care, custody, or welfare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obtain an opinion from more than one medical provider relating to the child's medical 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transfer the child's medical care to a new medical provider; or</w:t>
      </w:r>
      <w:r>
        <w:t xml:space="preserve"> </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transfer the child to another health care facility</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