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87R10667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amending Subsection (g) and adding Subsections (g-2) and (g-3)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w:t>
      </w:r>
      <w:r>
        <w:rPr>
          <w:u w:val="single"/>
        </w:rPr>
        <w:t xml:space="preserve">, other than the ex officio members listed in this subsection,</w:t>
      </w:r>
      <w:r>
        <w:t xml:space="preserve"> must be composed of persons specified by this section </w:t>
      </w:r>
      <w:r>
        <w:rPr>
          <w:u w:val="single"/>
        </w:rPr>
        <w:t xml:space="preserve">who represent the various geographic regions of this state, who have expertise in the field of power generation or transmission and distribution,</w:t>
      </w:r>
      <w:r>
        <w:t xml:space="preserve"> and </w:t>
      </w:r>
      <w:r>
        <w:rPr>
          <w:u w:val="single"/>
        </w:rPr>
        <w:t xml:space="preserve">who are</w:t>
      </w:r>
      <w:r>
        <w:t xml:space="preserve">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and selected by the other members of the governing body to serve three-year terms.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