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87R18963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Patterson, Romero, Jr.</w:t>
      </w:r>
      <w:r xml:space="preserve">
        <w:tab wTab="150" tlc="none" cTlc="0"/>
      </w:r>
      <w:r>
        <w:t xml:space="preserve">H.B.</w:t>
      </w:r>
      <w:r xml:space="preserve">
        <w:t> </w:t>
      </w:r>
      <w:r>
        <w:t xml:space="preserve">No.</w:t>
      </w:r>
      <w:r xml:space="preserve">
        <w:t> </w:t>
      </w:r>
      <w:r>
        <w:t xml:space="preserve">2545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2545:</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hearing aids and cochlear implants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1367.253(a),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health benefit plan must provide coverage for the cost of a medically necessary hearing aid or cochlear implant and related services and supplies for a covered individual who is </w:t>
      </w:r>
      <w:r>
        <w:rPr>
          <w:u w:val="single"/>
        </w:rPr>
        <w:t xml:space="preserve">25</w:t>
      </w:r>
      <w:r>
        <w:t xml:space="preserve"> [</w:t>
      </w:r>
      <w:r>
        <w:rPr>
          <w:strike/>
        </w:rPr>
        <w:t xml:space="preserve">18</w:t>
      </w:r>
      <w:r>
        <w:t xml:space="preserve">] years of age or younger.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