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87R8016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2546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by the secretary of state of certain voter roll maintenance provisions;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31, Election Code, is amended by adding Section 31.017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31.017.</w:t>
      </w:r>
      <w:r>
        <w:rPr>
          <w:u w:val="single"/>
        </w:rPr>
        <w:t xml:space="preserve"> </w:t>
      </w:r>
      <w:r>
        <w:rPr>
          <w:u w:val="single"/>
        </w:rPr>
        <w:t xml:space="preserve"> </w:t>
      </w:r>
      <w:r>
        <w:rPr>
          <w:u w:val="single"/>
        </w:rPr>
        <w:t xml:space="preserve">ENFORCEMENT OF VOTER ROLL MAINTENANCE PROVISIONS.  (a)  The secretary of state shall monitor each court clerk and voter registrar for compliance with the following provisions and with any rules implementing the following provisions: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Sections 62.113 and 62.114,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D, Chapter 15;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Subchapters A and B, Chapter 16;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Subchapter C, Chapter 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secretary of state determines that a court clerk or voter registrar has failed to comply with a requirement imposed on the clerk or registrar by a provision listed in Subsection (a),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first violation, require the clerk or registrar to attend a training course developed under Subsection (e);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second violation, audit the voter registration list for the county in which the clerk or registrar serves to determine the actions needed to achieve compliance with state law and rules adopted by the secretary of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third or subsequent violation, inform an appropriate law enforcement agency that an offense under Subsection (c) may have been committed.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clerk or voter registrar commits an offense if the clerk or registrar fails to comply with a requirement imposed on the clerk or registrar by a provision listed under Subsection (a) three or more times.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(c) is a state jail felony.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shall develop and implement a training course for court clerks and registrars on the maintenance of voter rolls required and permitted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January 1, 2022.  An offense committed before January 1, 2022, is governed by the law in effect on the date the offense was committed, and the former law is continued in effect for that purpose.  For purposes of this section, an offense was committed before January 1, 2022, if any element of the offense was committed before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2022, the secretary of state shall develop the training course required by Section 31.017, Election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