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Morrison</w:t>
      </w:r>
      <w:r xml:space="preserve">
        <w:tab wTab="150" tlc="none" cTlc="0"/>
      </w:r>
      <w:r>
        <w:t xml:space="preserve">H.B.</w:t>
      </w:r>
      <w:r xml:space="preserve">
        <w:t> </w:t>
      </w:r>
      <w:r>
        <w:t xml:space="preserve">No.</w:t>
      </w:r>
      <w:r xml:space="preserve">
        <w:t> </w:t>
      </w:r>
      <w:r>
        <w:t xml:space="preserve">2548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inspection of municipal buildings during a declared disaster.</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G, Chapter 214, Local Government Code, is amended by adding Section 214.220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214.220.</w:t>
      </w:r>
      <w:r>
        <w:rPr>
          <w:u w:val="single"/>
        </w:rPr>
        <w:t xml:space="preserve"> </w:t>
      </w:r>
      <w:r>
        <w:rPr>
          <w:u w:val="single"/>
        </w:rPr>
        <w:t xml:space="preserve"> </w:t>
      </w:r>
      <w:r>
        <w:rPr>
          <w:u w:val="single"/>
        </w:rPr>
        <w:t xml:space="preserve">INSPECTION DURING DECLARED DISASTER.  (a)  In an area of a municipality that is subject to a declaration of disaster by the governor under Chapter 418, Government Code, or a declaration of local disaster under that chapter, a building inspection for compliance with this subchapter or related municipal regulations may, while the declaration is in effect, be performed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person certified to inspect buildings by the International Code Council;</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person employed as a building inspector by the </w:t>
      </w:r>
      <w:r>
        <w:rPr>
          <w:u w:val="single"/>
        </w:rPr>
        <w:t xml:space="preserve">municipality in which the building is located;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person employed as a building inspector by any political subdivision, if the municipality in which the building is located has approved the person to perform inspections during a disaster.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municipality may not collect an inspection fee related to the inspection of a building performed under Subsection (a).</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2548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