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87R9431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2549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suits against certain governmental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101.106, Civil Practice and Remedies Code, is amended by amending Subsections (a) and (e) and adding Subsection (g)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(g), the</w:t>
      </w:r>
      <w:r>
        <w:t xml:space="preserve"> [</w:t>
      </w:r>
      <w:r>
        <w:rPr>
          <w:strike/>
        </w:rPr>
        <w:t xml:space="preserve">The</w:t>
      </w:r>
      <w:r>
        <w:t xml:space="preserve">] filing of a suit under this chapter against a governmental unit constitutes an irrevocable election by the plaintiff and immediately and forever bars any suit or recovery by the plaintiff against any individual employee of the governmental unit regarding the same subject matter.</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(g), if</w:t>
      </w:r>
      <w:r>
        <w:t xml:space="preserve"> [</w:t>
      </w:r>
      <w:r>
        <w:rPr>
          <w:strike/>
        </w:rPr>
        <w:t xml:space="preserve">If</w:t>
      </w:r>
      <w:r>
        <w:t xml:space="preserve">] a suit is filed under this chapter against both a governmental unit and any of its employees, the employees shall immediately be dismissed on the filing of a motion by the governmental unit.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may not be construed to restrict a plaintiff's ability to bring a suit against an employee of a governmental unit for assault, battery, false imprisonment, or any other intentional tort, including a tort involving disciplinary action by school authorities.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 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