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2551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2551:</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placements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262.1095(a),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w:t>
      </w:r>
      <w:r>
        <w:rPr>
          <w:u w:val="single"/>
        </w:rPr>
        <w:t xml:space="preserve">fourth</w:t>
      </w:r>
      <w:r>
        <w:t xml:space="preserve"> [</w:t>
      </w:r>
      <w:r>
        <w:rPr>
          <w:strike/>
        </w:rPr>
        <w:t xml:space="preserve">third</w:t>
      </w:r>
      <w:r>
        <w:t xml:space="preserve">]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262.114,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placement decision for a child, the department shall give preference to persons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the child by blood, marriage, or adoption;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child has a long-standing and significant relationship;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foster home;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residential operation.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264.752, Family Code, is amended by adding Subsections (b) and (b-1)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(b-1), the department may not place a child with a relative or other designated caregiver under the program, unless the child's parent or other person having legal custody of the child, other than the department, consents to the placement.  The parent or other person having legal custody of the child may withdraw consent at any time.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place a child with a relative or other designated caregiver under the program without the consent of the child's parent or other person having legal custody of the child if a court determines that the child's parent or other person having legal custody of the child is unreasonably withholding consent to the placement.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