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87R11427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interconnection of a solar energy device to an electricity distribution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SOLAR ENERGY DEVICE OWNER RIGHTS.  (a)  In this section, "solar energy device" has the meaning assigned by Section 185.001.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transmission and distribution utility or electric utility must allow the owner of a solar energy device that is interconnected to the utility's electricity distribution system, at the discretion of the owner,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decline to sell electricity produced by the solar energy device to the distribution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temporarily disconnect from the utility's electricity distribution system to use on site the electricity produced by the solar energy device during a power outage or interruption.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