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87R7827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parole of certain inmates during a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508.1455.</w:t>
      </w:r>
      <w:r>
        <w:rPr>
          <w:u w:val="single"/>
        </w:rPr>
        <w:t xml:space="preserve"> </w:t>
      </w:r>
      <w:r>
        <w:rPr>
          <w:u w:val="single"/>
        </w:rPr>
        <w:t xml:space="preserve"> </w:t>
      </w:r>
      <w:r>
        <w:rPr>
          <w:u w:val="single"/>
        </w:rPr>
        <w:t xml:space="preserve">RELEASE ON PAROLE OF CERTAIN INMATES DURING PUBLIC HEALTH EMERGENCY.  (a)  In this section, "public health emergency" means an immediate threat from a communicable disease as defined by Section 81.003, Health and Safety 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poses a high risk of death or serious long-term disability to a large number of people in the general population;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creates a substantial risk of public exposure because of the disease's high level of contagion or the method by which the disease is transmitted.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regardless of whether an inmate has completed any classes or programs that the board has previously ordered the inmate to complete before being released on parole, a parole panel shall consider for release and release on parole an inmate who is eligible for release on parole if the inmate is confined in a facility that is directly affected by a public health emergency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25 percent of the inmates confined in the facility are infected or suspected of being infected with the communicable disease related to the public health emergency;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has a high risk of developing serious symptoms or complications from the disease as determined by guidelines established by the federal Centers for Disease Control and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