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87R17508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light-duty motor vehicle purchase or lease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386.154, Health and Safety Code, is amended by amending Subsection (d)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new light-duty motor vehicle powered by an electric drive is eligible for a $2,500 incentive if the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four wheels </w:t>
      </w:r>
      <w:r>
        <w:rPr>
          <w:u w:val="single"/>
        </w:rPr>
        <w:t xml:space="preserve">or is a motorcycle as defined by Section 541.201, Transportation Code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manufactured for use primarily on public streets, roads, and highways;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modified from the original manufacturer's specifications;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a maximum speed capability of at least 55 miles per hour;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propelled to a significant extent by an electric motor that draws electricity from a hydrogen fuel cell or from a battery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capacity of not less than four kilowatt hours;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capable of being recharged from an external source of electricity;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was acquired on or after September 1, 2013, or a later date as established by the commission, by the person applying for the incentive under this subsection and for use or lease by that person and not for resale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 motor-assisted scooter or pocket bike or minimotorbike as those terms are defined by Section 551.351, Transportation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that receives the incentive described by Subsection (d) shall remit $750 to the comptroller to deposit to the credit of the state highway fund. </w:t>
      </w:r>
      <w:r>
        <w:rPr>
          <w:u w:val="single"/>
        </w:rPr>
        <w:t xml:space="preserve"> </w:t>
      </w:r>
      <w:r>
        <w:rPr>
          <w:u w:val="single"/>
        </w:rPr>
        <w:t xml:space="preserve">Money deposited to the credit of the state highway fund under this subsection must be used in a manner consistent with the purposes specified by Section 7-a, Article VIII, Texas Constitution.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