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 Paddie, Harless, Button,</w:t>
      </w:r>
      <w:r xml:space="preserve">
        <w:tab wTab="150" tlc="none" cTlc="0"/>
      </w:r>
      <w:r>
        <w:t xml:space="preserve">H.B.</w:t>
      </w:r>
      <w:r xml:space="preserve">
        <w:t> </w:t>
      </w:r>
      <w:r>
        <w:t xml:space="preserve">No.</w:t>
      </w:r>
      <w:r xml:space="preserve">
        <w:t> </w:t>
      </w:r>
      <w:r>
        <w:t xml:space="preserve">2586</w:t>
      </w:r>
    </w:p>
    <w:p w:rsidR="003F3435" w:rsidRDefault="0032493E">
      <w:pPr>
        <w:jc w:val="both"/>
      </w:pPr>
      <w:r xml:space="preserve">
        <w:t> </w:t>
      </w:r>
      <w:r xml:space="preserve">
        <w:t> </w:t>
      </w:r>
      <w:r xml:space="preserve">
        <w:t> </w:t>
      </w:r>
      <w:r xml:space="preserve">
        <w:t> </w:t>
      </w:r>
      <w:r xml:space="preserve">
        <w:t> </w:t>
      </w:r>
      <w:r>
        <w:t xml:space="preserve">Goldman,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annual audit of the independent organization certified for the ERCOT power region.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39, Utilities Code, is amended by adding Section 39.159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39.159.</w:t>
      </w:r>
      <w:r>
        <w:rPr>
          <w:u w:val="single"/>
        </w:rPr>
        <w:t xml:space="preserve"> </w:t>
      </w:r>
      <w:r>
        <w:rPr>
          <w:u w:val="single"/>
        </w:rPr>
        <w:t xml:space="preserve"> </w:t>
      </w:r>
      <w:r>
        <w:rPr>
          <w:u w:val="single"/>
        </w:rPr>
        <w:t xml:space="preserve">AUDIT OF INDEPENDENT ORGANIZATION CERTIFIED FOR ERCOT POWER REGION.  (a)  The commission annually shall have an independent audit made of each independent organization certified under Section 39.151 for the ERCOT power region.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audit under this section must examine: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independent organization's financial condition, including the organization's budget and expenses, and the salaries of the organization's employees and board members;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compliance of the independent organization's assets with all applicable commission standards.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60th day after the date an audit under this section is completed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publish the results of the audit on the commission's Internet website;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results of the audit to the state a</w:t>
      </w:r>
      <w:r>
        <w:rPr>
          <w:u w:val="single"/>
        </w:rPr>
        <w:t xml:space="preserve">uditor and members of the standing committees of the legislature with primary jurisdiction over the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