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87R10460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2592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certain municipalities and counties to enter into interlocal contracts for the provision of law enforcement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791, Government Code, is amended by adding Section 791.038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791.038.</w:t>
      </w:r>
      <w:r>
        <w:rPr>
          <w:u w:val="single"/>
        </w:rPr>
        <w:t xml:space="preserve"> </w:t>
      </w:r>
      <w:r>
        <w:rPr>
          <w:u w:val="single"/>
        </w:rPr>
        <w:t xml:space="preserve"> </w:t>
      </w:r>
      <w:r>
        <w:rPr>
          <w:u w:val="single"/>
        </w:rPr>
        <w:t xml:space="preserve">CONTRACTS FOR THE PROVISION OF LAW ENFORCEMENT SERVICES IN CERTAIN MUNICIPALITIES.  (a)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with a population of 800,000 or more and located on the international border;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located wholly in a county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that enters into an interlocal contract with a county under this chapter for the county to provide law enforcement services to the municipality may abolish its municipal police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that enters into an interlocal contract with a municipality under this chapter for the county to provide law enforcement services to the municipality must assign county law enforcement officers to discharge official duties in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791.038, Government Code, as added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