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87R9125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political advertising for purposes of certain laws regulating political communications, funds, and campaigns.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251.001(16), Election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"Political advertising" means a communication supporting or opposing a candidate for nomination or election to a public office or office of a political party, a political party, a public officer, or a measure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return for consideration [</w:t>
      </w:r>
      <w:r>
        <w:rPr>
          <w:strike/>
        </w:rPr>
        <w:t xml:space="preserve">,</w:t>
      </w:r>
      <w:r>
        <w:t xml:space="preserve">]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published in a newspaper, magazine, or other periodical</w:t>
      </w:r>
      <w:r>
        <w:rPr>
          <w:u w:val="single"/>
        </w:rPr>
        <w:t xml:space="preserve">;</w:t>
      </w:r>
      <w:r>
        <w:t xml:space="preserve"> [</w:t>
      </w:r>
      <w:r>
        <w:rPr>
          <w:strike/>
        </w:rPr>
        <w:t xml:space="preserve">or is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 xml:space="preserve">
        <w:t> </w:t>
      </w:r>
      <w:r>
        <w:t xml:space="preserve">broadcast by radio or television;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distributed by e-mail or text message;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appears: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in a pamphlet, circular, flier, billboard or other sign, bumper sticker, or similar form of written communication;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on an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