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87R8300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2596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identification requirements for health professionals associated with certain health facilities; authorizing administrative and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4, Health and Safety Code, is amended by adding Chapter 226 to read as follows:</w:t>
      </w:r>
    </w:p>
    <w:p w:rsidR="003F3435" w:rsidRDefault="0032493E">
      <w:pPr>
        <w:spacing w:line="480" w:lineRule="auto"/>
        <w:jc w:val="center"/>
      </w:pPr>
      <w:r>
        <w:rPr>
          <w:u w:val="single"/>
        </w:rPr>
        <w:t xml:space="preserve">CHAPTER 226.  REGULATION OF CERTAIN HEALTH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freestanding emergency medical care facility licensed under Chapter 254;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urgent care clinic.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professional"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physician assistant;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nurse, including an advanced practice registered nurse.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"Urgent care clinic" means a facility providing health care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episodic ambulatory health care to individuals outside of a hospital emergency room setting;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require an individual to make an appointment;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some services typically provided in a primary care physician's office;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treats individuals requiring treatment of an illness or injury that requires immediate care but is not life-threatening.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226.002.</w:t>
      </w:r>
      <w:r>
        <w:rPr>
          <w:u w:val="single"/>
        </w:rPr>
        <w:t xml:space="preserve"> </w:t>
      </w:r>
      <w:r>
        <w:rPr>
          <w:u w:val="single"/>
        </w:rPr>
        <w:t xml:space="preserve"> </w:t>
      </w:r>
      <w:r>
        <w:rPr>
          <w:u w:val="single"/>
        </w:rPr>
        <w:t xml:space="preserve">PHOTO IDENTIFICATION BADGE REQUIRED.  (a)  A health facility shall adopt a policy requiring a health  professional providing direct patient care at the facility to wear a photo identification badge during all patient encounters, unless precluded by adopted isolation or sterilization protocols.  The badge must be of sufficient size, be prominently worn and clearly visible, and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minimum the professional's first or last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the facility with which the professional is associated;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 of any license held by the professional under Title 3, Occupations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the professional's status as a student, intern, trainee, or resident.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(a)(3), the identification badge of a health professional licensed under Title 3, Occupations Code, must clearly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"physician" for a professional who holds a license under Subtitle B of that title;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"physician assistant" for a professional who holds a license under Chapter 204, Occupations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"nurse" or "advanced practice registered nurse," as applicable, for a professional who holds a license under Subtitle E, Title 3,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226.003.</w:t>
      </w:r>
      <w:r>
        <w:rPr>
          <w:u w:val="single"/>
        </w:rPr>
        <w:t xml:space="preserve"> </w:t>
      </w:r>
      <w:r>
        <w:rPr>
          <w:u w:val="single"/>
        </w:rPr>
        <w:t xml:space="preserve"> </w:t>
      </w:r>
      <w:r>
        <w:rPr>
          <w:u w:val="single"/>
        </w:rPr>
        <w:t xml:space="preserve">ADMINISTRATIVE PENALTY.  (a)  The commission may impose an administrative penalty on a freestanding emergency medical care facility that violates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penalty imposed may not exceed $1,000 for each violation, and each day a violation continues or occurs is a separate violation for the purpose of imposing a penalty.  The amount shall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 the nature, circumstances, extent, and gravity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efforts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enforcement of the penalty may be stayed during the time the order is under judicial review if the person pays the penalty to the clerk of the court or files a supersedeas bond with the court in the amount of the penalty.  A person who cannot afford to pay the penalty or file the bond may stay the enforcement by filing an affidavit in the manner required by the Texas Rules of Civil Procedure for a party who cannot afford to file security for costs, subject to the right of the commission to contest the affidavit as provided by those rules.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sue to collect the penalty.  The attorney general and the commission may recover reasonable expenses incurred in obtaining relief under this section, including court costs, reasonable attorney's fees, investigation costs, witness fees, and deposition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proceeding to impose the penalty is considered to be a contested case under Chapter 2001,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226.004.</w:t>
      </w:r>
      <w:r>
        <w:rPr>
          <w:u w:val="single"/>
        </w:rPr>
        <w:t xml:space="preserve"> </w:t>
      </w:r>
      <w:r>
        <w:rPr>
          <w:u w:val="single"/>
        </w:rPr>
        <w:t xml:space="preserve"> </w:t>
      </w:r>
      <w:r>
        <w:rPr>
          <w:u w:val="single"/>
        </w:rPr>
        <w:t xml:space="preserve">CIVIL PENALTY.  (a)  A health facility that violates this chapter is liable for a civil penalty of not more than $1,000 for each violation.  Each day of a continuing violation constitutes a separate ground for recovery.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by the commission, the attorney general may institute an action in a district court to collect a civil penalty under this section.  The attorney general and the commission may recover reasonable expenses incurred in obtaining relief under this section, including court costs, reasonable attorney's fees, investigation costs, witness fees, and deposition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