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87R7594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2599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ownership and use of mobile batteries to restore electric service after a natural disaster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to </w:t>
      </w:r>
      <w:r>
        <w:rPr>
          <w:u w:val="single"/>
        </w:rPr>
        <w:t xml:space="preserve">the ownership or operation of</w:t>
      </w:r>
      <w:r>
        <w:t xml:space="preserve"> electric energy storage equipment or facilities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 after a natural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MOBILE BATTERIES FOR RESTORING SERVICE AFTER NATURAL DISASTER.  (a)  In this section, "natural disaster" means a tropical storm or hurricane, ice storm or snow storm, flood, or other weather-related event that results in a widespread electric power outage affecting distribution customers of transmission and distribution utilities.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 provision of this subtitle that directly or indirectly prohibits a transmission and distribution utility from owning or operating a generation asset, a transmission and distribution utility, with prior approval of the commission, may own and operate a mobile battery to provide electric energy to restore service to distribution customers after a natural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 and establish criteria for approving the ownership and operation of a mobile battery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