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87R6826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Paul, Oliverson, Middleton, Hull,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2600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Sanford,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fiscal impact statements for legislation imposing mandates on health benefit plan issuers.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314, Government Code, is amended by adding Section 314.006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314.006.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FISCAL IMPACT STATEMENT FOR HEALTH BENEFIT PLAN MANDATES.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"Enrollee" means an individual who is enrolled in a health benefit plan, including a covered dependent.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benefit plan issuer" means an insurer, health maintenance organization, or other entity authorized to provide health benefits coverage under the laws of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care provider" means a physician or other person who is licensed, certified, or otherwise authorized to provide a health care service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prepare a fiscal impact statement for each bill or joint resolution that requires a health benefit plan issuer to provide new health benefits, increase payments to health care providers, or implement new contractual or administrative requirements.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fiscal impact statement must estimate the effect of the bill or joint resolution on health benefit plan issuer expenditures and on premiums and other costs paid by enrollees.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fiscal impact statement must be attached to the bill or joint resolution immediately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fiscal note attached under Section 314.003;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another statement attached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314.006, Government Code, as added by this Act, applies only to a bill or joint resolution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