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87R7165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prevention of and safety requirements regarding sudden cardiac arrest affecting public school students participating in interscholastic athletics.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D-1 to read as follows:</w:t>
      </w:r>
    </w:p>
    <w:p w:rsidR="003F3435" w:rsidRDefault="0032493E">
      <w:pPr>
        <w:spacing w:line="480" w:lineRule="auto"/>
        <w:jc w:val="center"/>
      </w:pPr>
      <w:r>
        <w:rPr>
          <w:u w:val="single"/>
        </w:rPr>
        <w:t xml:space="preserve">SUBCHAPTER D-1. PREVENTION OF AND SAFETY REQUIREMENTS REGARDING SUDDEN CARDIAC ARREST AFFECTING STUDENT ATHLETES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"Athletic trainer" has the meaning assigned by Section 451.001,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"Coach" includes an assistant coach.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"League" means the University Interscholastic League.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 includes a guardian or other person with legal authority to make medical decisions for a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 means a person who holds a license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to an interscholastic athletic activity, including practice and competition, sponsored or sanctioned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and any school for which a charter has been granted under Chapter 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league.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38.183.</w:t>
      </w:r>
      <w:r>
        <w:rPr>
          <w:u w:val="single"/>
        </w:rPr>
        <w:t xml:space="preserve"> </w:t>
      </w:r>
      <w:r>
        <w:rPr>
          <w:u w:val="single"/>
        </w:rPr>
        <w:t xml:space="preserve"> </w:t>
      </w:r>
      <w:r>
        <w:rPr>
          <w:u w:val="single"/>
        </w:rPr>
        <w:t xml:space="preserve">WEBSITE INFORMATION.  (a) </w:t>
      </w:r>
      <w:r>
        <w:rPr>
          <w:u w:val="single"/>
        </w:rPr>
        <w:t xml:space="preserve"> </w:t>
      </w:r>
      <w:r>
        <w:rPr>
          <w:u w:val="single"/>
        </w:rPr>
        <w:t xml:space="preserve">The agency shall develop guidelines and other relevant materials, in accordance with this section, to educate students, parents, and coaches regarding sudden cardiac arrest,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warning signs and symptoms,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fainting or seizures during athletic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difficulty breathing;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chest pains;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dizziness;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abnormal racing heart rate;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extreme fatigue;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risks associated with continuing athletic activity after experiencing a warning sign or symptom of sudden cardiac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guidelines and other materials under Subsection (a), the agency may use educational videos and other resources available at no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post on the agency's Internet website the guidelines and other materials developed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38.184.</w:t>
      </w:r>
      <w:r>
        <w:rPr>
          <w:u w:val="single"/>
        </w:rPr>
        <w:t xml:space="preserve"> </w:t>
      </w:r>
      <w:r>
        <w:rPr>
          <w:u w:val="single"/>
        </w:rPr>
        <w:t xml:space="preserve"> </w:t>
      </w:r>
      <w:r>
        <w:rPr>
          <w:u w:val="single"/>
        </w:rPr>
        <w:t xml:space="preserve">REQUIRED ANNUAL FORM ACKNOWLEDGING SUDDEN CARDIAC ARREST INFORMATION.  (a) </w:t>
      </w:r>
      <w:r>
        <w:rPr>
          <w:u w:val="single"/>
        </w:rPr>
        <w:t xml:space="preserve"> </w:t>
      </w:r>
      <w:r>
        <w:rPr>
          <w:u w:val="single"/>
        </w:rPr>
        <w:t xml:space="preserve">A student may not participate in an interscholastic athletic activity for a school year until both the student and the student's parent have signed a form for that school year that acknowledges receiving and reading written information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sudden cardiac arrest warning signs and symptoms;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electrocardiogram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notice of the option of the student to request the administration of an electrocardiogram in addition to a physical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consistent with the information in the materials developed and posted under Section 38.183.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required under Subsection (a) must be approved by the league.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38.185.</w:t>
      </w:r>
      <w:r>
        <w:rPr>
          <w:u w:val="single"/>
        </w:rPr>
        <w:t xml:space="preserve"> </w:t>
      </w:r>
      <w:r>
        <w:rPr>
          <w:u w:val="single"/>
        </w:rPr>
        <w:t xml:space="preserve"> </w:t>
      </w:r>
      <w:r>
        <w:rPr>
          <w:u w:val="single"/>
        </w:rPr>
        <w:t xml:space="preserve">INFORMATIONAL MEETING.  Before the start of each athletic season, a school district or charter school may hold an informational meeting regarding the warning signs and symptoms of sudden cardiac arrest for students, parents, coaches, and other school employees. </w:t>
      </w:r>
      <w:r>
        <w:rPr>
          <w:u w:val="single"/>
        </w:rPr>
        <w:t xml:space="preserve"> </w:t>
      </w:r>
      <w:r>
        <w:rPr>
          <w:u w:val="single"/>
        </w:rPr>
        <w:t xml:space="preserve">The district or school may invite a physician, including a pediatric cardiologist, or athletic trainer to present information at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38.186.</w:t>
      </w:r>
      <w:r>
        <w:rPr>
          <w:u w:val="single"/>
        </w:rPr>
        <w:t xml:space="preserve"> </w:t>
      </w:r>
      <w:r>
        <w:rPr>
          <w:u w:val="single"/>
        </w:rPr>
        <w:t xml:space="preserve"> </w:t>
      </w:r>
      <w:r>
        <w:rPr>
          <w:u w:val="single"/>
        </w:rPr>
        <w:t xml:space="preserve">REQUEST FOR ELECTROCARDIOGRAM. </w:t>
      </w:r>
      <w:r>
        <w:rPr>
          <w:u w:val="single"/>
        </w:rPr>
        <w:t xml:space="preserve"> </w:t>
      </w:r>
      <w:r>
        <w:rPr>
          <w:u w:val="single"/>
        </w:rPr>
        <w:t xml:space="preserve">A student may request an electrocardiogram from any health care professional, including a health care professional provided through the student's patient-centered medical home, as defined by Section 533.0029, Government Code, a health care professional provided through a school district program, or another health care professional chosen by the parent, provided that the health care professional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appropriately licensed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authorized to administer and interpret electrocardiograms under the health care professional's scope of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38.187.</w:t>
      </w:r>
      <w:r>
        <w:rPr>
          <w:u w:val="single"/>
        </w:rPr>
        <w:t xml:space="preserve"> </w:t>
      </w:r>
      <w:r>
        <w:rPr>
          <w:u w:val="single"/>
        </w:rPr>
        <w:t xml:space="preserve"> </w:t>
      </w:r>
      <w:r>
        <w:rPr>
          <w:u w:val="single"/>
        </w:rPr>
        <w:t xml:space="preserve">REMOVAL AND PREVENTION FROM PLAY IN PRACTICE OR COMPETITION FOLLOWING SUDDEN CARDIAC ARREST WARNING SIGN OR SYMPTOM.  (a) </w:t>
      </w:r>
      <w:r>
        <w:rPr>
          <w:u w:val="single"/>
        </w:rPr>
        <w:t xml:space="preserve"> </w:t>
      </w:r>
      <w:r>
        <w:rPr>
          <w:u w:val="single"/>
        </w:rPr>
        <w:t xml:space="preserve">A student shall be removed from an interscholastic athletic practice or competition immediately if any of the following persons determines that the student has lost consciousness during the practice or competition: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health care professional;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school nurse;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student's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be removed from an interscholastic athletic practice or competition by a person listed in Subsection (a) if the person determines that the student has exhibited a warning sign or symptom of sudden cardiac arrest other than the loss of consciousness as described by Sections 38.183(a)(1)(B)-(F).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38.188, if a person listed in Subsection (a) knows that a student has lost consciousness at any time during or immediately following an interscholastic athletic practice or competition, the student shall be prevented from participating in any further practice or competition.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38.188, if a person listed in Subsection (a) knows that a student has exhibited a warning sign or symptom of sudden cardiac arrest other than the loss of consciousness at any time during or immediately following an interscholastic athletic practice or competition, the student may be prevented from participating in any further practice or competition.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38.188.</w:t>
      </w:r>
      <w:r>
        <w:rPr>
          <w:u w:val="single"/>
        </w:rPr>
        <w:t xml:space="preserve"> </w:t>
      </w:r>
      <w:r>
        <w:rPr>
          <w:u w:val="single"/>
        </w:rPr>
        <w:t xml:space="preserve"> </w:t>
      </w:r>
      <w:r>
        <w:rPr>
          <w:u w:val="single"/>
        </w:rPr>
        <w:t xml:space="preserve">RETURN TO PLAY IN PRACTICE OR COMPETITION.  A student removed from or prevented from participating in an interscholastic athletic practice or competition under Section 38.187 may not be permitted to practice or compete again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has been evaluated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health care professional;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nurse;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evaluating health care provider has provided a written statement indicating that, in the provider's professional judgment, it is safe for the student to return to play.</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38.189.</w:t>
      </w:r>
      <w:r>
        <w:rPr>
          <w:u w:val="single"/>
        </w:rPr>
        <w:t xml:space="preserve"> </w:t>
      </w:r>
      <w:r>
        <w:rPr>
          <w:u w:val="single"/>
        </w:rPr>
        <w:t xml:space="preserve"> </w:t>
      </w:r>
      <w:r>
        <w:rPr>
          <w:u w:val="single"/>
        </w:rPr>
        <w:t xml:space="preserve">TRAINING COURSES. </w:t>
      </w:r>
      <w:r>
        <w:rPr>
          <w:u w:val="single"/>
        </w:rPr>
        <w:t xml:space="preserve"> </w:t>
      </w:r>
      <w:r>
        <w:rPr>
          <w:u w:val="single"/>
        </w:rPr>
        <w:t xml:space="preserve">(a) </w:t>
      </w:r>
      <w:r>
        <w:rPr>
          <w:u w:val="single"/>
        </w:rPr>
        <w:t xml:space="preserve"> </w:t>
      </w:r>
      <w:r>
        <w:rPr>
          <w:u w:val="single"/>
        </w:rPr>
        <w:t xml:space="preserve">The league shall approve for coaches of interscholastic athletic activities training courses that provide for training in the subject matter of sudden cardiac arrest, including prevention, warning signs and symptoms, risks, and long-term effects.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coach may not coach an interscholastic athletic activity for a school year until the coach has completed a training course approved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coach must submit proof of timely completion of an approved course in compliance with Subsection (b) to the school district superintendent or the superintendent's designee or, in the case of a charter school, a person who serves the function of a superintendent or that person's designee.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38.190.</w:t>
      </w:r>
      <w:r>
        <w:rPr>
          <w:u w:val="single"/>
        </w:rPr>
        <w:t xml:space="preserve"> </w:t>
      </w:r>
      <w:r>
        <w:rPr>
          <w:u w:val="single"/>
        </w:rPr>
        <w:t xml:space="preserve"> </w:t>
      </w:r>
      <w:r>
        <w:rPr>
          <w:u w:val="single"/>
        </w:rPr>
        <w:t xml:space="preserve">IMMUNITY.  This subchapter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any immunity from liability of a school district or charter school or of district or school officers or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liability for a cause of action against a school district or open-enrollment charter school or against district or charter school officers or employees;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any immunity from liability under Section 74.151,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38.191.</w:t>
      </w:r>
      <w:r>
        <w:rPr>
          <w:u w:val="single"/>
        </w:rPr>
        <w:t xml:space="preserve"> </w:t>
      </w:r>
      <w:r>
        <w:rPr>
          <w:u w:val="single"/>
        </w:rPr>
        <w:t xml:space="preserve"> </w:t>
      </w:r>
      <w:r>
        <w:rPr>
          <w:u w:val="single"/>
        </w:rPr>
        <w:t xml:space="preserve">RULES.  The commissioner and the league may adopt rules as necessary to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33.096,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D-1, Chapter 38, Education Code, as added by 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38.189, Education Code, as added by this Act, a coach required under that section to take a training course in the subject of sudden cardiac arrest must initially complete the training course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