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2610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deadline to begin a county fire code inspection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233.064, Local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county with a population of more than 3.3 million shall begin the inspection of the building within 10 business days after the date of receipt of the written inspection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