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87R4834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2614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administrative penalties assessed by the Texas Workforce Commission against certain employers for failure to pay wages.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61.053, Labor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If the commission examiner, a wage claim appeal tribunal, or the commission determines that an employer acted in bad faith in not paying wages as required by this chapter, the examiner, tribunal, or commission, in addition to ordering the payment of the wages, </w:t>
      </w:r>
      <w:r>
        <w:rPr>
          <w:u w:val="single"/>
        </w:rPr>
        <w:t xml:space="preserve">shall</w:t>
      </w:r>
      <w:r>
        <w:t xml:space="preserve"> [</w:t>
      </w:r>
      <w:r>
        <w:rPr>
          <w:strike/>
        </w:rPr>
        <w:t xml:space="preserve">may</w:t>
      </w:r>
      <w:r>
        <w:t xml:space="preserve">] assess an administrative penalty against the employer.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acts that constitute bad faith by an employer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history of previous violations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failure to pay wages to an employee as required by this chapter as an act of discrimination or retaliation against the employee;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failure to pay wages as required by this chapter to multiple employees at the same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failure to pay wages to an employee as required by this chapter knowing that the failure was a violation of state law;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actions showing reckless disregard of the requirements of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repeatedly: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failing to reply to correspondence from a commission examiner, wage claim appeal tribunal, or the commission related to a wage claim;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refusing to participate in the wage claim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issuing a check for the payment of wages from an account that is closed or has insufficient funds;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stopping payment of a check issued to an employee for the payment of wages;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unreasonably withholding or delaying payment of wages, including by conditioning the payment of wages owed on the performance of additional work.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