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87R8316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H.B.</w:t>
      </w:r>
      <w:r xml:space="preserve">
        <w:t> </w:t>
      </w:r>
      <w:r>
        <w:t xml:space="preserve">No.</w:t>
      </w:r>
      <w:r xml:space="preserve">
        <w:t> </w:t>
      </w:r>
      <w:r>
        <w:t xml:space="preserve">2618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exception to disclosure under the public information law of certain personal information contained in a citation issued for a violation of a state traffic law or local traffic ordinance.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552, Government Code, is amended by adding Section 552.1082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552.1082.</w:t>
      </w:r>
      <w:r>
        <w:rPr>
          <w:u w:val="single"/>
        </w:rPr>
        <w:t xml:space="preserve"> </w:t>
      </w:r>
      <w:r>
        <w:rPr>
          <w:u w:val="single"/>
        </w:rPr>
        <w:t xml:space="preserve"> </w:t>
      </w:r>
      <w:r>
        <w:rPr>
          <w:u w:val="single"/>
        </w:rPr>
        <w:t xml:space="preserve">EXCEPTION: CERTAIN PERSONAL INFORMATION FROM TRAFFIC VIOLATION RECORDS. </w:t>
      </w:r>
      <w:r>
        <w:rPr>
          <w:u w:val="single"/>
        </w:rPr>
        <w:t xml:space="preserve"> </w:t>
      </w:r>
      <w:r>
        <w:rPr>
          <w:u w:val="single"/>
        </w:rPr>
        <w:t xml:space="preserve">(a) </w:t>
      </w:r>
      <w:r>
        <w:rPr>
          <w:u w:val="single"/>
        </w:rPr>
        <w:t xml:space="preserve"> </w:t>
      </w:r>
      <w:r>
        <w:rPr>
          <w:u w:val="single"/>
        </w:rPr>
        <w:t xml:space="preserve">Except as provided by Subsection (b), information contained in a citation issued for a violation of a state traffic law or local traffic ordinance is excepted from the requirements of Section 552.021 if the information is the home address or personal telephone number of the person who is the subject of a citation.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Information described by Subsection (a) shall be made available on the request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radio or television station that holds a license issued by the Federal Communications Commission;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newspaper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free newspaper of general circulation or qualified under Section 2051.044 to publish legal notices;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published at least once a week;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available and of interest to the general public in connection with the dissemination of news.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