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87R10504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H.B.</w:t>
      </w:r>
      <w:r xml:space="preserve">
        <w:t> </w:t>
      </w:r>
      <w:r>
        <w:t xml:space="preserve">No.</w:t>
      </w:r>
      <w:r xml:space="preserve">
        <w:t> </w:t>
      </w:r>
      <w:r>
        <w:t xml:space="preserve">2622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certain federal laws regulating firearms, firearm accessories, and firearm ammunition within the State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 Penal Code, is amended by adding Section 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w:t>
      </w:r>
      <w:r>
        <w:rPr>
          <w:u w:val="single"/>
        </w:rPr>
        <w:t xml:space="preserve"> </w:t>
      </w:r>
      <w:r>
        <w:rPr>
          <w:u w:val="single"/>
        </w:rPr>
        <w:t xml:space="preserve"> </w:t>
      </w:r>
      <w:r>
        <w:rPr>
          <w:u w:val="single"/>
        </w:rPr>
        <w:t xml:space="preserve">ENFORCEMENT OF CERTAIN FEDERAL LAWS REGULATING FIREARMS, FIREARM ACCESSORIES, AND FIREARM AMMUNITION.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"Firearm" has the meaning assigned by Section 46.01.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"Firearm accessory" means an item that is used in conjunction with or mounted on a firearm but is not essential to the basic function of a firearm.  The term includes a detachable firearm magazine.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agency of this state or a political subdivision of this state, and a law enforcement officer or other person employed by an agency of this state or a political subdivision of this state, may not contract with or in any other manner provide assistance to a federal agency or official with respect to the enforcement of a federal statute, order, rule, or regulation purporting to regulate a firearm, a firearm accessory, or firearm ammunition if the statute, order, rule, or regulation imposes a prohibition, restriction, or other regulation, such as a capacity or size limitation or a registration requirement, that does not exist under the laws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contract or agreement to provide assistance in the enforcement of a federal statute, order, rule, or regulation in effect on January 19, 2021.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political subdivision of this state may not receive state grant funds if the political subdivision adopts a rule, order, ordinance, or policy under which the political subdivision requires the enforcement of any federal statute, order, rule, or regulation described by Subsection (b) or, by consistent actions, requires the enforcement of any federal statute, order, rule, or regulation described by Subsection (b).  State grant funds for the political subdivision shall be denied for the fiscal year following the year in which a final judicial determination in an action brought under this section is made that the political subdivision has intentionally required the enforcement of any federal statute, order, rule, or regulation described by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citizen residing in the jurisdiction of a political subdivision of this state may file a complaint with the attorney general if the citizen offers evidence to support an allegation that the political subdivision has adopted a rule, order, ordinance, or policy under which the political subdivision requires the enforcement of any federal statute, order, rule, or regulation described by Subsection (b) or an allegation that the political subdivision, by consistent actions, requires the enforcement of any federal statute, order, rule, or regulation described by Subsection (b).  The citizen must include with the complaint the evidence the citizen has that supports the complaint.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attorney general determines that a complaint filed under Subsection (e) against a political subdivision of this state is valid, the attorney general may file a petition for a writ of mandamus or apply for other appropriate equitable relief in a district court in Travis County or in a county in which the principal office of the political subdivision is located to compel the political subdivision to comply with Subsection (b). </w:t>
      </w:r>
      <w:r>
        <w:rPr>
          <w:u w:val="single"/>
        </w:rPr>
        <w:t xml:space="preserve"> </w:t>
      </w:r>
      <w:r>
        <w:rPr>
          <w:u w:val="single"/>
        </w:rPr>
        <w:t xml:space="preserve">The attorney general may recover reasonable expenses incurred in obtaining relief under this subsection, including court costs, reasonable attorney's fees, investigative costs, witness fees, and deposition costs.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appeal of a suit brought under Subsection (f) is governed by the procedures for accelerated appeals in civil cases under the Texas Rules of Appellate Procedure. </w:t>
      </w:r>
      <w:r>
        <w:rPr>
          <w:u w:val="single"/>
        </w:rPr>
        <w:t xml:space="preserve"> </w:t>
      </w:r>
      <w:r>
        <w:rPr>
          <w:u w:val="single"/>
        </w:rPr>
        <w:t xml:space="preserve">The appellate court shall render its final order or judgment with the least possible delay.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attorney general shall defend any agency of this state that the federal government attempts to sue for an action or omission consistent with the requirements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