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 et al.</w:t>
      </w:r>
      <w:r>
        <w:t xml:space="preserve"> (Senate Sponsor</w:t>
      </w:r>
      <w:r xml:space="preserve">
        <w:t> </w:t>
      </w:r>
      <w:r>
        <w:t xml:space="preserve">-</w:t>
      </w:r>
      <w:r xml:space="preserve">
        <w:t> </w:t>
      </w:r>
      <w:r>
        <w:t xml:space="preserve">Hall)</w:t>
      </w:r>
      <w:r xml:space="preserve">
        <w:tab wTab="150" tlc="none" cTlc="0"/>
      </w:r>
      <w:r>
        <w:t xml:space="preserve">H.B.</w:t>
      </w:r>
      <w:r xml:space="preserve">
        <w:t> </w:t>
      </w:r>
      <w:r>
        <w:t xml:space="preserve">No.</w:t>
      </w:r>
      <w:r xml:space="preserve">
        <w:t> </w:t>
      </w:r>
      <w:r>
        <w:t xml:space="preserve">2622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3,</w:t>
      </w:r>
      <w:r xml:space="preserve">
        <w:t> </w:t>
      </w:r>
      <w:r>
        <w:t xml:space="preserve">2021; May</w:t>
      </w:r>
      <w:r xml:space="preserve">
        <w:t> </w:t>
      </w:r>
      <w:r>
        <w:t xml:space="preserve">10,</w:t>
      </w:r>
      <w:r xml:space="preserve">
        <w:t> </w:t>
      </w:r>
      <w:r>
        <w:t xml:space="preserve">2021, read first time and referred to Committee on State Affairs; May</w:t>
      </w:r>
      <w:r xml:space="preserve">
        <w:t> </w:t>
      </w:r>
      <w:r>
        <w:t xml:space="preserve">19,</w:t>
      </w:r>
      <w:r xml:space="preserve">
        <w:t> </w:t>
      </w:r>
      <w:r>
        <w:t xml:space="preserve">2021, reported favorably by the following vote:</w:t>
      </w:r>
      <w:r>
        <w:t xml:space="preserve"> </w:t>
      </w:r>
      <w:r>
        <w:t xml:space="preserve"> </w:t>
      </w:r>
      <w:r>
        <w:t xml:space="preserve">Yeas</w:t>
      </w:r>
      <w:r xml:space="preserve">
        <w:t> </w:t>
      </w:r>
      <w:r>
        <w:t xml:space="preserve">6, Nays</w:t>
      </w:r>
      <w:r xml:space="preserve">
        <w:t> </w:t>
      </w:r>
      <w:r>
        <w:t xml:space="preserve">2; May</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enforcement of certain federal laws regulating firearms, firearm accessories, and firearm ammunition within the State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Second Amendment Sanctuary State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 Penal Code, is amended by adding Section 1.10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w:t>
      </w:r>
      <w:r>
        <w:rPr>
          <w:u w:val="single"/>
        </w:rPr>
        <w:t xml:space="preserve"> </w:t>
      </w:r>
      <w:r>
        <w:rPr>
          <w:u w:val="single"/>
        </w:rPr>
        <w:t xml:space="preserve"> </w:t>
      </w:r>
      <w:r>
        <w:rPr>
          <w:u w:val="single"/>
        </w:rPr>
        <w:t xml:space="preserve">ENFORCEMENT OF CERTAIN FEDERAL LAWS REGULATING FIREARMS, FIREARM ACCESSORIES, AND FIREARM AMMUNITION. </w:t>
      </w:r>
      <w:r>
        <w:rPr>
          <w:u w:val="single"/>
        </w:rPr>
        <w:t xml:space="preserve"> </w:t>
      </w:r>
      <w:r>
        <w:rPr>
          <w:u w:val="single"/>
        </w:rPr>
        <w:t xml:space="preserve">(a)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"Ammunition"</w:t>
      </w:r>
      <w:r>
        <w:rPr>
          <w:u w:val="single"/>
        </w:rPr>
        <w:t xml:space="preserve"> </w:t>
      </w:r>
      <w:r>
        <w:rPr>
          <w:u w:val="single"/>
        </w:rPr>
        <w:t xml:space="preserve">has the meaning assigned by Section 229.001, Local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"Firearm" has the meaning assigned by Section 46.01.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"Firearm accessory" means an item that is used in conjunction with or mounted on a firearm but is not essential to the basic function of the firearm.  The term includes a detachable firearm magazine.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"State funds"</w:t>
      </w:r>
      <w:r>
        <w:rPr>
          <w:u w:val="single"/>
        </w:rPr>
        <w:t xml:space="preserve"> </w:t>
      </w:r>
      <w:r>
        <w:rPr>
          <w:u w:val="single"/>
        </w:rPr>
        <w:t xml:space="preserve">means money appropriated by the legislature or money under the control or direction of a state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an agency of this state, a political subdivision of this state, or a law enforcement officer or other person employed by an agency of this state or a political subdivision of this state may not contract with or in any other manner provide assistance to a federal agency or official with respect to the enforcement of a federal statute, order, rule, or regulation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imposes a prohibition, restriction, or other regulation that does not exist under the laws of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relates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registry requirement for a firearm, a firearm accessory, or ammunition;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requirement that an owner of a firearm, a firearm accessory, or ammunition possess a license as a condition of owning, possessing, or carrying the firearm, firearm accessory, or ammunition;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requirement that a background check be conducted for the private sale or transfer of a firearm, a firearm accessory, or ammunition;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program for confiscating a firearm, a firearm accessory, or ammunition from a person who is not otherwise prohibited by the laws of this state from possessing the firearm, firearm accessory, or ammunition;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program that requires an owner of a firearm, a firearm accessory, or ammunition to sell the firearm, firearm accessory, or ammunition.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apply to a contract or agreement to provide assistance in the enforcement of a federal statute, order, rule, or regulation in effect on January 19, 2021.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political subdivision of this state may not receive state funds if the political subdivision enters into a contract or adopts a rule, order, ordinance, or policy under which the political subdivision requires or assists with the enforcement of any federal statute, order, rule, or regulation described by Subsection (b) or, by consistent actions, requires or assists with the enforcement of any federal statute, order, rule, or regulation described by Subsection (b).  State funds for the political subdivision shall be denied for the fiscal year following the year in which a final judicial determination in an action brought under this section is made that the political subdivision has required or assisted with the enforcement of any federal statute, order, rule, or regulation described by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Any individual residing in the jurisdiction of a political subdivision of this state may file a complaint with the attorney general if the individual offers evidence to support an allegation that the political subdivision has entered into a contract or adopted a rule, order, ordinance, or policy under which the political subdivision requires or assists with the enforcement of any federal statute, order, rule, or regulation described by Subsection (b) or evidence to support an allegation that the political subdivision, by consistent actions, requires or assists with the enforcement of any federal statute, order, rule, or regulation described by Subsection (b).  The individual must include with the complaint the evidence the individual has that supports the complaint.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attorney general determines that a complaint filed under Subsection (e) against a political subdivision of this state is valid, the attorney general may file a petition for a writ of mandamus or apply for other appropriate equitable relief in a district court in Travis County or in a county in which the principal office of the political subdivision is located to compel the political subdivision to comply with Subsection (b). </w:t>
      </w:r>
      <w:r>
        <w:rPr>
          <w:u w:val="single"/>
        </w:rPr>
        <w:t xml:space="preserve"> </w:t>
      </w:r>
      <w:r>
        <w:rPr>
          <w:u w:val="single"/>
        </w:rPr>
        <w:t xml:space="preserve">The attorney general may recover reasonable expenses incurred in obtaining relief under this subsection, including court costs, reasonable attorney's fees, investigative costs, witness fees, and deposition costs.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appeal of a suit brought under Subsection (f) is governed by the procedures for accelerated appeals in civil cases under the Texas Rules of Appellate Procedure. </w:t>
      </w:r>
      <w:r>
        <w:rPr>
          <w:u w:val="single"/>
        </w:rPr>
        <w:t xml:space="preserve"> </w:t>
      </w:r>
      <w:r>
        <w:rPr>
          <w:u w:val="single"/>
        </w:rPr>
        <w:t xml:space="preserve">The appellate court shall render its final order or judgment with the least possible delay.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attorney general shall defend any agency of this state in a suit brought against the agency by the federal government for an action or omission consistent with the requirements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