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87R6579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2636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at-home diagnostic medical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8, Insurance Code, is amended by adding Chapter 1381 to read as follows:</w:t>
      </w:r>
    </w:p>
    <w:p w:rsidR="003F3435" w:rsidRDefault="0032493E">
      <w:pPr>
        <w:spacing w:line="480" w:lineRule="auto"/>
        <w:jc w:val="center"/>
      </w:pPr>
      <w:r>
        <w:rPr>
          <w:u w:val="single"/>
        </w:rPr>
        <w:t xml:space="preserve">CHAPTER 1381. AT-HOME DIAGNOSTIC MEDICAL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1381.001.</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1381.002.</w:t>
      </w:r>
      <w:r>
        <w:rPr>
          <w:u w:val="single"/>
        </w:rPr>
        <w:t xml:space="preserve"> </w:t>
      </w:r>
      <w:r>
        <w:rPr>
          <w:u w:val="single"/>
        </w:rPr>
        <w:t xml:space="preserve"> </w:t>
      </w:r>
      <w:r>
        <w:rPr>
          <w:u w:val="single"/>
        </w:rPr>
        <w:t xml:space="preserve">COVERAGE REQUIRED.  A health benefit plan must provide coverage for a covered individual who is 55 years of age or older or who has a chronic medical condition for the cost of any at-home diagnostic medical device recommended by the individual's primary care provider, including a device used to measure: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blood pressure;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heart 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blood glucose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oxygen saturation levels;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respiratory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1381, Insurance Code, as added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