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87R11030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for approval by the executive director of the Texas Commission on Environmental Quality of an application for a standard permit for a concrete batch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382.05199, Health and Safety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Not later than the 35th day after the date the public hearing is held, the executive director shall approve or deny the application for authorization to use the standard permit.  </w:t>
      </w:r>
      <w:r>
        <w:rPr>
          <w:u w:val="single"/>
        </w:rPr>
        <w:t xml:space="preserve">In determining whether to approve the application, the</w:t>
      </w:r>
      <w:r>
        <w:t xml:space="preserve"> [</w:t>
      </w:r>
      <w:r>
        <w:rPr>
          <w:strike/>
        </w:rPr>
        <w:t xml:space="preserve">The</w:t>
      </w:r>
      <w:r>
        <w:t xml:space="preserve">] executive director shall base the decision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whether the application meets the requirements of Section 382.05198</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consideration of:</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  The executive director shall consider</w:t>
      </w:r>
      <w:r>
        <w:t xml:space="preserve">] all comments received during the public comment period and at the public hearing</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harm to local property values;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of the facility relative to homes, schools, churches, parks, and other community assets</w:t>
      </w:r>
      <w:r>
        <w:t xml:space="preserve"> [</w:t>
      </w:r>
      <w:r>
        <w:rPr>
          <w:strike/>
        </w:rPr>
        <w:t xml:space="preserve">in determining whether to approve the application</w:t>
      </w:r>
      <w:r>
        <w:t xml:space="preserve">].</w:t>
      </w:r>
    </w:p>
    <w:p w:rsidR="003F3435" w:rsidRDefault="0032493E">
      <w:pPr>
        <w:spacing w:line="480" w:lineRule="auto"/>
        <w:ind w:firstLine="720"/>
        <w:jc w:val="both"/>
      </w:pPr>
      <w:r>
        <w:rPr>
          <w:u w:val="single"/>
        </w:rPr>
        <w:t xml:space="preserve">(h-1)</w:t>
      </w:r>
      <w:r xml:space="preserve">
        <w:t> </w:t>
      </w:r>
      <w:r xml:space="preserve">
        <w:t> </w:t>
      </w:r>
      <w:r>
        <w:t xml:space="preserve">If the executive director denies the application, the executive director shall state the reasons for the denial and any modifications to the application that are necessary for the proposed plant to qualify for the authorization.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382.05199, Health and Safety Code, as amended by this Act, applies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