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87R9149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whether a person is intoxicated for purposes of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401.013, Labor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In this subtitle, "intoxication" means the state of:</w:t>
      </w:r>
    </w:p>
    <w:p w:rsidR="003F3435" w:rsidRDefault="0032493E">
      <w:pPr>
        <w:spacing w:line="480" w:lineRule="auto"/>
        <w:ind w:firstLine="1440"/>
        <w:jc w:val="both"/>
      </w:pPr>
      <w:r>
        <w:t xml:space="preserve">(1)</w:t>
      </w:r>
      <w:r xml:space="preserve">
        <w:t> </w:t>
      </w:r>
      <w:r xml:space="preserve">
        <w:t> </w:t>
      </w:r>
      <w:r>
        <w:t xml:space="preserve">having an alcohol concentration to qualify as intoxicated under Section 49.01(2), Penal Code; or</w:t>
      </w:r>
    </w:p>
    <w:p w:rsidR="003F3435" w:rsidRDefault="0032493E">
      <w:pPr>
        <w:spacing w:line="480" w:lineRule="auto"/>
        <w:ind w:firstLine="1440"/>
        <w:jc w:val="both"/>
      </w:pPr>
      <w:r>
        <w:t xml:space="preserve">(2)</w:t>
      </w:r>
      <w:r xml:space="preserve">
        <w:t> </w:t>
      </w:r>
      <w:r xml:space="preserve">
        <w:t> </w:t>
      </w:r>
      <w:r>
        <w:t xml:space="preserve">not having the normal use of mental or physical faculties </w:t>
      </w:r>
      <w:r>
        <w:rPr>
          <w:u w:val="single"/>
        </w:rPr>
        <w:t xml:space="preserve">by reason of</w:t>
      </w:r>
      <w:r>
        <w:t xml:space="preserve"> [</w:t>
      </w:r>
      <w:r>
        <w:rPr>
          <w:strike/>
        </w:rPr>
        <w:t xml:space="preserve">resulting from</w:t>
      </w:r>
      <w:r>
        <w:t xml:space="preserve">] the [</w:t>
      </w:r>
      <w:r>
        <w:rPr>
          <w:strike/>
        </w:rPr>
        <w:t xml:space="preserve">voluntary</w:t>
      </w:r>
      <w:r>
        <w:t xml:space="preserve">] introduction into the body of:</w:t>
      </w:r>
    </w:p>
    <w:p w:rsidR="003F3435" w:rsidRDefault="0032493E">
      <w:pPr>
        <w:spacing w:line="480" w:lineRule="auto"/>
        <w:ind w:firstLine="2160"/>
        <w:jc w:val="both"/>
      </w:pPr>
      <w:r>
        <w:t xml:space="preserve">(A)</w:t>
      </w:r>
      <w:r xml:space="preserve">
        <w:t> </w:t>
      </w:r>
      <w:r xml:space="preserve">
        <w:t> </w:t>
      </w:r>
      <w:r>
        <w:t xml:space="preserve">an alcoholic beverage, as defined by Section 1.04, Alcoholic Beverage Code;</w:t>
      </w:r>
    </w:p>
    <w:p w:rsidR="003F3435" w:rsidRDefault="0032493E">
      <w:pPr>
        <w:spacing w:line="480" w:lineRule="auto"/>
        <w:ind w:firstLine="2160"/>
        <w:jc w:val="both"/>
      </w:pPr>
      <w:r>
        <w:t xml:space="preserve">(B)</w:t>
      </w:r>
      <w:r xml:space="preserve">
        <w:t> </w:t>
      </w:r>
      <w:r xml:space="preserve">
        <w:t> </w:t>
      </w:r>
      <w:r>
        <w:t xml:space="preserve">a controlled substance or controlled substance analogue, as defined by Section 481.002, Health and Safety Code;</w:t>
      </w:r>
    </w:p>
    <w:p w:rsidR="003F3435" w:rsidRDefault="0032493E">
      <w:pPr>
        <w:spacing w:line="480" w:lineRule="auto"/>
        <w:ind w:firstLine="2160"/>
        <w:jc w:val="both"/>
      </w:pPr>
      <w:r>
        <w:t xml:space="preserve">(C)</w:t>
      </w:r>
      <w:r xml:space="preserve">
        <w:t> </w:t>
      </w:r>
      <w:r xml:space="preserve">
        <w:t> </w:t>
      </w:r>
      <w:r>
        <w:t xml:space="preserve">a dangerous drug, as defined by Section 483.001, Health and Safety Code;</w:t>
      </w:r>
    </w:p>
    <w:p w:rsidR="003F3435" w:rsidRDefault="0032493E">
      <w:pPr>
        <w:spacing w:line="480" w:lineRule="auto"/>
        <w:ind w:firstLine="2160"/>
        <w:jc w:val="both"/>
      </w:pPr>
      <w:r>
        <w:t xml:space="preserve">(D)</w:t>
      </w:r>
      <w:r xml:space="preserve">
        <w:t> </w:t>
      </w:r>
      <w:r xml:space="preserve">
        <w:t> </w:t>
      </w:r>
      <w:r>
        <w:t xml:space="preserve">an abusable </w:t>
      </w:r>
      <w:r>
        <w:rPr>
          <w:u w:val="single"/>
        </w:rPr>
        <w:t xml:space="preserve">volatile chemical</w:t>
      </w:r>
      <w:r>
        <w:t xml:space="preserve"> [</w:t>
      </w:r>
      <w:r>
        <w:rPr>
          <w:strike/>
        </w:rPr>
        <w:t xml:space="preserve">glue or aerosol paint</w:t>
      </w:r>
      <w:r>
        <w:t xml:space="preserve">], as defined by Section 485.001, Health and Safety Code; or</w:t>
      </w:r>
    </w:p>
    <w:p w:rsidR="003F3435" w:rsidRDefault="0032493E">
      <w:pPr>
        <w:spacing w:line="480" w:lineRule="auto"/>
        <w:ind w:firstLine="2160"/>
        <w:jc w:val="both"/>
      </w:pPr>
      <w:r>
        <w:t xml:space="preserve">(E)</w:t>
      </w:r>
      <w:r xml:space="preserve">
        <w:t> </w:t>
      </w:r>
      <w:r xml:space="preserve">
        <w:t> </w:t>
      </w:r>
      <w:r>
        <w:t xml:space="preserve">any similar substance, the use of which is regulated under state law.</w:t>
      </w:r>
    </w:p>
    <w:p w:rsidR="003F3435" w:rsidRDefault="0032493E">
      <w:pPr>
        <w:spacing w:line="480" w:lineRule="auto"/>
        <w:ind w:firstLine="720"/>
        <w:jc w:val="both"/>
      </w:pPr>
      <w:r>
        <w:t xml:space="preserve">(c)</w:t>
      </w:r>
      <w:r xml:space="preserve">
        <w:t> </w:t>
      </w:r>
      <w:r xml:space="preserve">
        <w:t> </w:t>
      </w:r>
      <w:r>
        <w:rPr>
          <w:u w:val="single"/>
        </w:rPr>
        <w:t xml:space="preserve">An analysis of a specimen of blood, urine, or any bodily fluid collected during an autopsy that shows the presence</w:t>
      </w:r>
      <w:r>
        <w:t xml:space="preserve"> [</w:t>
      </w:r>
      <w:r>
        <w:rPr>
          <w:strike/>
        </w:rPr>
        <w:t xml:space="preserve">On the voluntary introduction into the body</w:t>
      </w:r>
      <w:r>
        <w:t xml:space="preserve">] of any substance listed under Subsection </w:t>
      </w:r>
      <w:r>
        <w:rPr>
          <w:u w:val="single"/>
        </w:rPr>
        <w:t xml:space="preserve">(a)(2) creates</w:t>
      </w:r>
      <w:r>
        <w:t xml:space="preserve"> [</w:t>
      </w:r>
      <w:r>
        <w:rPr>
          <w:strike/>
        </w:rPr>
        <w:t xml:space="preserve">(a)(2)(B), based on a blood test or urinalysis, it is</w:t>
      </w:r>
      <w:r>
        <w:t xml:space="preserve">] a rebuttable presumption that a person </w:t>
      </w:r>
      <w:r>
        <w:rPr>
          <w:u w:val="single"/>
        </w:rPr>
        <w:t xml:space="preserve">was</w:t>
      </w:r>
      <w:r>
        <w:t xml:space="preserve"> </w:t>
      </w:r>
      <w:r>
        <w:t xml:space="preserve">[</w:t>
      </w:r>
      <w:r>
        <w:rPr>
          <w:strike/>
        </w:rPr>
        <w:t xml:space="preserve">is</w:t>
      </w:r>
      <w:r>
        <w:t xml:space="preserve">] intoxicated and </w:t>
      </w:r>
      <w:r>
        <w:rPr>
          <w:u w:val="single"/>
        </w:rPr>
        <w:t xml:space="preserve">did</w:t>
      </w:r>
      <w:r>
        <w:t xml:space="preserve"> </w:t>
      </w:r>
      <w:r>
        <w:t xml:space="preserve">[</w:t>
      </w:r>
      <w:r>
        <w:rPr>
          <w:strike/>
        </w:rPr>
        <w:t xml:space="preserve">does</w:t>
      </w:r>
      <w:r>
        <w:t xml:space="preserve">] not have the normal use of mental or physical faculties.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presumption under Subsection (c) may be rebutted only by credible and objective evidence that the person was not intoxicated.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