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87R8818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2655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Department of Public Safety database concerning peace officer misconduct.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REGARDING PEACE OFFICER MISCONDUCT.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shall promptly report to the Department of Public Safety for inclusion in the database established under Section 411.056, Government Code, each allegation of misconduct concerning a peace officer employed by the agency.  The report must be made on the form adopted by that department and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of the allegation;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results of the agency's investigation of the allegation;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disciplinary action taken by the agency as a result of the allegation.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411, Government Code, is amended by adding Section 411.056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411.056.</w:t>
      </w:r>
      <w:r>
        <w:rPr>
          <w:u w:val="single"/>
        </w:rPr>
        <w:t xml:space="preserve"> </w:t>
      </w:r>
      <w:r>
        <w:rPr>
          <w:u w:val="single"/>
        </w:rPr>
        <w:t xml:space="preserve"> </w:t>
      </w:r>
      <w:r>
        <w:rPr>
          <w:u w:val="single"/>
        </w:rPr>
        <w:t xml:space="preserve">DATABASE OF PEACE OFFICER MISCONDUCT; REPORT.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form for the reporting of misconduct allegations under Article 2.1397,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database for information concerning reports received under that article;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the database accessible to law enforcement agencies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June 1 and December 1 of each year, the department shall submit a report regarding peace officer misconduct to the governor, lieutenant governor, and each standing committee of the legislature with primary jurisdiction over criminal justice matters.  The report must include information regarding the type and frequency of misconduct allegations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make each report submitted under Subsection (b) available on the department's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Department of Public Safety of the State of Texas shall adopt the form and establish the database as required by Section 411.056,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Public Safety of the State of Texas shall submit its first report under Section 411.056(b), Government Code, as added by this Act, not later than June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