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87R12761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and administration of certain health insurance programs and medical assistance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533.005(a)(2),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capitation rates that </w:t>
      </w:r>
      <w:r>
        <w:rPr>
          <w:u w:val="single"/>
        </w:rPr>
        <w:t xml:space="preserve">include acuity and risk adjustment methodologies that consider acute care services and long-term services and supports covered by the Medicaid managed care program, including costs for private duty nursing, and that</w:t>
      </w:r>
      <w:r>
        <w:t xml:space="preserve"> ensure the cost-effective provision of quality health care;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533.0063(b), Government Code is amended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Subsection (c), a</w:t>
      </w:r>
      <w:r>
        <w:t xml:space="preserve">] managed care organization is required to send a paper form of the organization's provider network directory for the program only to a recipient who requests to receive the directory.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533.0063(c),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533, Government Code, is amended by adding Section 533.0068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 533.0068. PRIMARY CARE ASSIGNMENT.  (a)  The commission shall honor a contract requirement to enable a managed care organization to make the initial and subsequent primary care provider assignments and changes in accordance with Section 533.005(a)(26).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Managed care organizations may assign Medicaid members based on published criteria that seeks to preserve existing provider-member relationships and considers a member's proximity to providers and other criteria as established by the managed care organization.  An "existing provider-member relationship" is one in which the provider was a main source of Medicaid services for the member during the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533.0076(c),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shall allow a recipient who is enrolled in a managed care plan under this chapter to disenroll from that plan and enroll in another managed care plan[</w:t>
      </w:r>
      <w:r>
        <w:rPr>
          <w:strike/>
        </w:rPr>
        <w:t xml:space="preserve">: (1)</w:t>
      </w:r>
      <w:r>
        <w:t xml:space="preserve">]at any time for cause in accordance with federal law</w:t>
      </w:r>
      <w:r>
        <w:rPr>
          <w:u w:val="single"/>
        </w:rPr>
        <w:t xml:space="preserve">s and regulations governing Medicaid</w:t>
      </w:r>
      <w:r>
        <w:t xml:space="preserve">[</w:t>
      </w:r>
      <w:r>
        <w:rPr>
          <w:strike/>
        </w:rPr>
        <w:t xml:space="preserve">; and (2)once  for any reason after the periods described by Subsections (a) and 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Unless otherwise stated, this Act applies to all contracts between the Health and Human Services Commission and a Medicaid Managed Care organization under Chapter 533, Government Code, that are entered into, renewed, or amended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