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Leman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Kolkhorst)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2660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20,</w:t>
      </w:r>
      <w:r xml:space="preserve">
        <w:t> </w:t>
      </w:r>
      <w:r>
        <w:t xml:space="preserve">2021, read first time and referred to Committee on Natural Resources &amp; Economic Development;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jurisdiction and management of the Star of the Republic Museum by the Texas Historical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442.062(a)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museum and its contents</w:t>
      </w:r>
      <w:r>
        <w:rPr>
          <w:u w:val="single"/>
        </w:rPr>
        <w:t xml:space="preserve">, artifacts, structure, and land</w:t>
      </w:r>
      <w:r>
        <w:t xml:space="preserve"> are under the jurisdiction of the commission.  The commission is responsible for the preservation, maintenance, and operation of the museum.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Any</w:t>
      </w:r>
      <w:r>
        <w:t xml:space="preserve"> [</w:t>
      </w:r>
      <w:r>
        <w:rPr>
          <w:strike/>
        </w:rPr>
        <w:t xml:space="preserve">Except as provided by Subsection (b), any</w:t>
      </w:r>
      <w:r>
        <w:t xml:space="preserve">] power or duty related to the museum formerly vested in any other state agency or entity is vested solely in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442.062(b),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