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87R10771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rolling blackouts.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38, Utilities Code, is amended by adding Section 38.074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ROLLING BLACKOUTS.  The commission by rule shall require each electric utility, municipally owned utility, and electric cooperative that is subject to a rolling blackout initiated by an independent organization certified under Section 39.151 to rotate customer curtailment so that no customer is subject to an outage of more than 12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The Public Utility Commission of Texas shall conduct a study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methods to make the imposition of a rolling blackout equitable across the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measures needed in this state to prevent the necessity of rolling blackouts.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September 1, 2022, the Public Utility Commission of Texas shall submit to the legislature a report on the results of the study.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