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87R10426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independent school district to change the date of the general election and terms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11.059,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2026, the board of trustees may adopt a resolution changing the length of the terms of its trustees. The resolution must provide for staggered terms of either three or four years and specify the manner in which the transition from the length of the former term to the modified term is made.  The transition must begin with the first regular election for trustees that occurs after the board adopts the resolution, and a trustee who serves on the date the resolution is adopted shall serve the remainder of that term.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41.0052,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not later than December 31, 2026, change the date on which it holds its general election for officers to the November uniform election date.  This subsection expires January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