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87R8414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2673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of excess costs incurred by a recipient of certain grants awarded by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201, Transportation Code, is amended by adding Section 201.712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201.712.</w:t>
      </w:r>
      <w:r>
        <w:rPr>
          <w:u w:val="single"/>
        </w:rPr>
        <w:t xml:space="preserve"> </w:t>
      </w:r>
      <w:r>
        <w:rPr>
          <w:u w:val="single"/>
        </w:rPr>
        <w:t xml:space="preserve"> </w:t>
      </w:r>
      <w:r>
        <w:rPr>
          <w:u w:val="single"/>
        </w:rPr>
        <w:t xml:space="preserve">REIMBURSEMENT OF EXCESS COSTS INCURRED BY CERTAIN GRANT RECIPIENTS.  (a)  This section applies only to a grant awarded by the department for the construction of a transportation project in a </w:t>
      </w:r>
      <w:r>
        <w:rPr>
          <w:u w:val="single"/>
        </w:rPr>
        <w:t xml:space="preserve"> </w:t>
      </w:r>
      <w:r>
        <w:rPr>
          <w:u w:val="single"/>
        </w:rPr>
        <w:t xml:space="preserve">county with a population of less than 25,000 or a municipality with a population of less than 15,000.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reimburse a grant recipient for costs incurred by the recipient that exceed the amount of the grant awarded by the department if the construction of the transportation project is managed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grant awarded by the Texas Department of Transportation on or after the effective date of this Act.  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