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Noble</w:t>
      </w:r>
      <w:r xml:space="preserve">
        <w:tab wTab="150" tlc="none" cTlc="0"/>
      </w:r>
      <w:r>
        <w:t xml:space="preserve">H.B.</w:t>
      </w:r>
      <w:r xml:space="preserve">
        <w:t> </w:t>
      </w:r>
      <w:r>
        <w:t xml:space="preserve">No.</w:t>
      </w:r>
      <w:r xml:space="preserve">
        <w:t> </w:t>
      </w:r>
      <w:r>
        <w:t xml:space="preserve">2680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relating to children placed under a parental child safety placement.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264.203,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child is subject to a parental child safety placement under Subchapter L, before the court may order a parent, managing conservator, guardian, or other member of the subject child's household to participate in services, the court shall advise any person who is not represented by an attorney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indigent and opposes the order to participate in services, the right to a court-appointed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appoint an attorney ad litem to represent the interests of a person described by Subsection (e) if the person claims indigence and requests the appointment of an attorney. The court shall require the person to complete and file with the court an affidavit of indigence. The court may hear evidence to determine whether the person is indigent. If the court determines the person is indigent, the court shall appoint an attorney to represent the person.  The attorney ad litem for the parent shall have the powers and duties of an attorney ad litem for a parent under Section 107.0131.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264.902, Family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rPr>
          <w:u w:val="single"/>
        </w:rPr>
        <w:t xml:space="preserve">subject to Subsection (e),</w:t>
      </w:r>
      <w:r>
        <w:t xml:space="preserve">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parental child safety placement agreement automatically terminates on the earlier of the 30th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agreement is 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is placed with the caregiver.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expiration of a parental child safety placement agreement, the department may for good cause enter into not more than one additional parental child safety placement agreement for the child.  On entering the parental child safety placement agreement,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reevaluate the terms and conditions of the original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of their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refuse to enter into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represented by an attorney or a court-appointed attorney if the parent is indigent if the department subsequently seeks a court order to require the parents to participate in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INCLUSIONS IN REPORTS OF PARENTAL CHILD SAFETY PLACEMENTS.  The department shall 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REPORT ON COURT-ORDERED PARTICIPATION IN SERVICES.  The department shall report the number of cases in which a court under Section 264.203 orders the parent, managing conservator, guardian, or other member of the child's household of a child who is placed with a caregiver under a parental child safety placement to participate in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