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87R17197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2683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2683:</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2683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remote and other meetings held under the open meetings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551, Government Code, is amended by adding Section 551.008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551.008.</w:t>
      </w:r>
      <w:r>
        <w:rPr>
          <w:u w:val="single"/>
        </w:rPr>
        <w:t xml:space="preserve"> </w:t>
      </w:r>
      <w:r>
        <w:rPr>
          <w:u w:val="single"/>
        </w:rPr>
        <w:t xml:space="preserve"> </w:t>
      </w:r>
      <w:r>
        <w:rPr>
          <w:u w:val="single"/>
        </w:rPr>
        <w:t xml:space="preserve">PUBLIC ACCESS TO CERTAIN MEETINGS.  (a)  This section applies only to an open meeting of a governmental body at which at least a majority of the members of the body participate by a method other than by appearing in person at the meeting's physical location, including by telephone conference call or videoconference call.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requirements prescribed by this section are in addition to other requirements of law applicable to an open meeting.  Except as provided by this section, this section prevails to the extent of a conflict with another provision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shall ensure that members of the public are able to listen to and, if applicable, speak at an open meeting to which this section applies by telephone.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that holds an open meeting to which this section applies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the open meeting audible to the public by telephone and at each location described by Subsection (e)(2);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meeting is broadcast live over the Internet or held wholly or partly by videoconference call, provide public access to both audiovisual and audio-only feeds of the open meeting over the Internet;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allow members of the public to address the  governmental body as provided by Section 551.007:</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telephone;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videoconference call if the meeting is held wholly or partly by videoconference call.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of an open meeting to which this section applies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each physical location where a member of the public may observe and participate in the meeting,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location that is open to the public where a member of the governmental body intends to participate in the meeting;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facility provided by the governmental body for a member of the public to observe or speak at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toll free telephone number that members of the public may use to hear and, if applicable, speak at the meeting;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access information for any audiovisual or audio-only feeds required by Subsection (d)(2);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instructions for a member of the public to speak at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from a remote location;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while physically present at a location described by Subdivision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open meeting to which this section applies shall be recorded. Except as otherwise provided by law, the recording shall be made available to the public not later than 24 hours after the adjourning of the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551.041, Government Code, is amended to read as follows:</w:t>
      </w:r>
    </w:p>
    <w:p w:rsidR="003F3435" w:rsidRDefault="0032493E">
      <w:pPr>
        <w:spacing w:line="480" w:lineRule="auto"/>
        <w:ind w:firstLine="720"/>
        <w:jc w:val="both"/>
      </w:pPr>
      <w:r>
        <w:t xml:space="preserve">Sec.</w:t>
      </w:r>
      <w:r xml:space="preserve">
        <w:t> </w:t>
      </w:r>
      <w:r>
        <w:t xml:space="preserve">551.041.</w:t>
      </w:r>
      <w:r xml:space="preserve">
        <w:t> </w:t>
      </w:r>
      <w:r xml:space="preserve">
        <w:t> </w:t>
      </w:r>
      <w:r>
        <w:t xml:space="preserve">NOTICE OF MEETING REQUIRED.  </w:t>
      </w:r>
      <w:r>
        <w:rPr>
          <w:u w:val="single"/>
        </w:rPr>
        <w:t xml:space="preserve">(a)</w:t>
      </w:r>
      <w:r>
        <w:t xml:space="preserve"> A governmental body shall give written notice of the date, hour, place, and subject of each meeting held by the governmental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of the specific subjects to be considered in the open meeting so that the public is aware of the subjects for public deliberation;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foreseeable at the time the notice is posted, the subjects to be considered in a closed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may not conduct a closed meeting on a subject not included in the notice as prescribed by Subsection (b)(2) unless the body determines by official action during the open meeting for which the notice was posted that the necessity of considering the subject was not reasonably foreseeable at the time the notice was posted.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551.128(b)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requirements of this section, a governmental body may broadcast an open meeting over the Internet.  </w:t>
      </w:r>
      <w:r>
        <w:rPr>
          <w:u w:val="single"/>
        </w:rPr>
        <w:t xml:space="preserve">A governmental body shall broadcast an open meeting over the Internet if the physical location of the meeting is not accessible to members of the public or is not large enough to accommodate all persons seeking to attend the meeting in person, including if the location has reduced capacity as the result of a public emergency or disaster.</w:t>
      </w:r>
    </w:p>
    <w:p w:rsidR="003F3435" w:rsidRDefault="0032493E">
      <w:pPr>
        <w:spacing w:line="480" w:lineRule="auto"/>
        <w:ind w:firstLine="720"/>
        <w:jc w:val="both"/>
      </w:pPr>
      <w:r>
        <w:t xml:space="preserve">(c)</w:t>
      </w:r>
      <w:r xml:space="preserve">
        <w:t> </w:t>
      </w:r>
      <w:r xml:space="preserve">
        <w:t> </w:t>
      </w:r>
      <w:r>
        <w:t xml:space="preserve">Except as provided by Subsection (b-2), a governmental body that broadcasts a meeting over the Internet shall establish an Internet site and provide </w:t>
      </w:r>
      <w:r>
        <w:rPr>
          <w:u w:val="single"/>
        </w:rPr>
        <w:t xml:space="preserve">free and open</w:t>
      </w:r>
      <w:r>
        <w:t xml:space="preserve"> access </w:t>
      </w:r>
      <w:r>
        <w:rPr>
          <w:u w:val="single"/>
        </w:rPr>
        <w:t xml:space="preserve">for members of the public</w:t>
      </w:r>
      <w:r>
        <w:t xml:space="preserve"> to the broadcast from that site.  The governmental body shall provide on the Internet site the same notice of the meeting that the governmental body is required to post under Subchapter C.  The notice on the Internet must be posted within the time required for posting notice under Subchapter 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meeting of a governmental body held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