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87R12898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and counties that adopt budgets that defund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MISCELLANEOUS FINANCIAL PROVISIONS AFFECTING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REVENUE CAP ON DEFUNDING MUNICIPALITY.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"Combined revenues" means the combined revenues of a municipality's general fund, enterprise funds, and special revenue funds.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grant monies and other revenues received from other governmental entities;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transfers between funds of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"Defunding municipality" means a municipality that is a defunding local government under Section 140.013.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"Revenues" has the definition assigned to the term for cities by the Governmental Accounting Standards Board and the Government Finance Officers Association.  The term includes both operating and non-operating revenues.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defunding municipality may not increase their combined revenues for a fiscal year above their combined revenues for the immediately preceding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in Subsection (b) does not apply to revenues used to repay voter approved bonded indebtedness, excluding certificates of obligation.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governing body of a defunding municipality may adopt a budget for a fiscal year, the chief fiscal officer for the defunding municipality must verify in writing that the budget complies with Subsection (b).  If a defunding municipality adopts a budget that exceeds the combined revenues allowed under Subsection (b), a taxpayer of the defunding municipality may bring a lawsuit, not later than the 30th day after the date the defunding municipality adopts the budget, to obtain an injunction against the budget or the property tax rate adopted for the same fiscal year.  It is a defense in a lawsuit for an injunction under this subsection that the municipality does not qualify as a defunding municipality or is no longer considered to be a defunding municipality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is no longer considered to be a defunding municipality for purposes of this section when the criminal justice division of the governor's office issues a written determination in accordance with Section 140.013(b) finding that the municipality has reversed the reductions described by Section 140.013(a)(1).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DEFUNDING LOCAL GOVERNMENT.  (a)  A defunding local government is a municipality or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local government's preceding fiscal year, reduces: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appropriation to the local government's law enforcement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peace officers the local government's law enforcement agency is authorized to employ;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for peace officer overtime compensation for the local government's law enforcement agency;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for the recruitment and training of new peace officers to fill each vacant peace officer position in the local government's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criminal justice division of the governor's office issues a written determination finding that the local government has taken an action described by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of whether a local government is a defunding local government according to the budget adopted for the first fiscal year beginning on or after September 1, 2021, the criminal justice division of the governor's office shall compare the funding and personnel in that budget to the funding and personnel in the budget of the preceding fiscal year or the second preceding fiscal year, whichever is greater.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is considered to be a defunding local government until the criminal justice division of the governor's office issues a written determination finding that the local government has reversed the reductions, adjusted for inflation,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governor's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Subsection (b) each state fiscal year using a price index that accurately reports changes in the purchasing power of the dollar for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140.013, Local Government Code, as added by this Act, applies only to the adoption of a budget by a municipality or county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