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87R20473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Department of Transportation agreements and property interests related to maintenance of certain transportation infrastructure and right-of-way.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202, Transportation Code, is amended by adding Section 202.062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MAINTENANCE OF STATE HIGHWAY RIGHT-OF-WAY.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and a municipality may enter into an agreement to allow the municipality to maintain all or a portion of the state highway right-of-way located within the municipality or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entered into under this section may provide compensation to the municipality to maintain the right-of-way that is equal to the cost the department would incur if the department or a contractor acting on behalf of the department maintained the right-of-way.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370.169, Transportation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has full easements and rights-of-way through, across, under, and over any property owned by the state or a local government that are necessary or convenient for the maintenance of any portion of a transportation project or system operated by an authority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easement or right-of-way granted under this section must be documented by filing a declaration of the property interest in the real property records of the county. The declaration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description of the property interest;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specific reference to the legislative authority for the property interest;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plot plan of the property interest, including the following information, if applicable: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in which the property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street address of the property;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lot and block number of the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