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87R20473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agreements and property interests related to maintenance of certain transportation infrastructure and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202, Transportation Code, is amended by adding Section 202.062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MAINTENANCE OF STATE HIGHWAY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and a municipality may enter into an agreement to allow the municipality to maintain all or a portion of the state highway right-of-way located within the municipality or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entered into under this section may provide compensation to the municipality to maintain the right-of-way that is equal to the cost the department would incur if the department or a contractor acting on behalf of the department maintained the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370.169, Transportation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has full easements and rights-of-way through, across, under, and over any property owned by the state or a local government that are necessary or convenient for the maintenance of any portion of a transportation project or system operated by an authority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easement or right-of-way granted under this section must be documented by filing a declaration of the property interest in the real property records of the county. The declaration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property interest;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specific reference to the legislative authority for the property interest;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plot plan of the property interest, including the following information, if applicable: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property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street address of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lot and block number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