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87R2823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Martinez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2700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agreements for municipal maintenance of state highway right-of-way.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202, Transportation Code, is amended by adding Section 202.062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202.062.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MUNICIPAL MAINTENANCE OF STATE HIGHWAY RIGHT-OF-WAY.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department and a municipality may enter into an agreement to allow the municipality to maintain all or a portion of the state highway right-of-way located within the municipality or the municipality's extraterritorial jurisdiction.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agreement entered into under this section must provide compensation to the municipality to maintain the right-of-way that is equal to the cost the department would incur if the department or a contractor acting on behalf of the department maintained the right-of-way.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