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87R11612 BEF-D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Morrison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2704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treatment of certain limited liability companies as passive entities for purposes of the franchise tax.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171.0003(a), Tax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An entity is a passive entity only if: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entity is a general or limited partnership</w:t>
      </w:r>
      <w:r>
        <w:rPr>
          <w:u w:val="single"/>
        </w:rPr>
        <w:t xml:space="preserve">, a limited liability company,</w:t>
      </w:r>
      <w:r>
        <w:t xml:space="preserve"> or a trust, other than a business trust;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during the period on which margin is based, the entity's federal gross income consists of at least 90 percent of the following income: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dividends, interest, foreign currency exchange gain, periodic and nonperiodic payments with respect to notional principal contracts, option premiums, cash settlement or termination payments with respect to a financial instrument, and income from a limited liability company;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distributive shares of partnership income to the extent that those distributive shares of income are greater than zero;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capital gains from the sale of real property, gains from the sale of commodities traded on a commodities exchange, and gains from the sale of securities;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royalties, bonuses, or delay rental income from mineral properties and income from other nonoperating mineral interests;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entity does not receive more than 10 percent of its federal gross income from conducting an active trade or business.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only to a report originally due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January 1, 2022.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2704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