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2708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fees deposited to the hazardous and solid waste remediation fee account for reimbursement of environmental remediation at certain former battery recycling facility 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361.133,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money in the account attributable to fees imposed under Section 361.138 may be used for reimbursement of environmental remediation at the site of a former battery recycling facility located in the municipal boundaries of a municipality with a population of more than 115,000 and less than 250,000 if a community development corporation serving the municipality is issued an industrial hazardous waste permit by the commission for the site and is paying or has paid for part of the costs of the environmental remediation of the site pursuant to the permit. This subsection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2708 was passed by the House on May 8, 2021, by the following vote:</w:t>
      </w:r>
      <w:r xml:space="preserve">
        <w:t> </w:t>
      </w:r>
      <w:r xml:space="preserve">
        <w:t> </w:t>
      </w:r>
      <w:r>
        <w:t xml:space="preserve">Yeas 132,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2708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