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87R16421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county in which an application for court-ordered mental health services must be filed.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574.001(b),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Subsection (f), the application must be filed with the county clerk in the county in which the proposed patient: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found;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is being assessed in an emergency room or hospital;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is receiving mental health services by court order or under Subchapter A, Chapter 573.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