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application for court-ordered mental health services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1.</w:t>
      </w:r>
      <w:r xml:space="preserve">
        <w:t> </w:t>
      </w:r>
      <w:r xml:space="preserve">
        <w:t> </w:t>
      </w:r>
      <w:r>
        <w:t xml:space="preserve">Section 574.001, Health and Safety Code, is amended by amending Subsection (b) and adding Subsection (3)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 (f), the application must be filed with the county clerk in the county in which the proposed patient: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resides;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found; </w:t>
      </w:r>
      <w:r>
        <w:rPr>
          <w:strike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is being assessed in an emergency room or hospital;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is receiving mental health services by court order or under Subchapter A, Chapter 573.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