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87R5714 DRS-D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Hinojosa, Murphy, 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continuation of a residence homestead exemption from ad valorem taxation while the owner is temporarily absent because of service outside of the United States as a foreign service officer employed by the United States Department of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11.13(l),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A qualified residential structure does not lose its character as a residence homestead when the owner who qualifies for the exemption temporarily stops occupying it as a principal residence if that owner does not establish a different principal residence and the absence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for a period of less than two years and the owner intends to return and occupy the structure as the owner's principal residence;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caused by the owner's: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military service inside or outside of the United States as a member of the armed forces of the United States or of this state;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residency in a facility that provides services related to health, infirmity, or aging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service outside of the United States as a foreign service officer employed by the United States Department of State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