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87R5714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continuation of a residence homestead exemption from ad valorem taxation while the owner is temporarily absent because of service outside of the United States as a foreign service officer employed by the United States Department of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11.13(l),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A qualified residential structure does not lose its character as a residence homestead when the owner who qualifies for the exemption temporarily stops occupying it as a principal residence if that owner does not establish a different principal residence and the absence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 period of less than two years and the owner intends to return and occupy the structure as the owner's principal residence;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caused by the owner's: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military service inside or outside of the United States as a member of the armed forces of the United States or of this state;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residency in a facility that provides services related to health, infirmity, or aging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service outside of the United States as a foreign service officer employed by the United States Department of State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